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C634A" w14:textId="0EC56B58" w:rsidR="00E67A45" w:rsidRPr="009D4F0E" w:rsidRDefault="009D4F0E" w:rsidP="009D4F0E">
      <w:pPr>
        <w:snapToGrid w:val="0"/>
        <w:spacing w:after="240" w:line="360" w:lineRule="auto"/>
        <w:jc w:val="center"/>
        <w:rPr>
          <w:rFonts w:ascii="Arial" w:hAnsi="Arial" w:cs="Arial"/>
          <w:b/>
          <w:bCs/>
          <w:lang w:val="es-ES_tradnl"/>
        </w:rPr>
      </w:pPr>
      <w:r w:rsidRPr="009D4F0E">
        <w:rPr>
          <w:rFonts w:ascii="Arial" w:hAnsi="Arial" w:cs="Arial"/>
          <w:b/>
          <w:bCs/>
          <w:lang w:val="es-ES_tradnl"/>
        </w:rPr>
        <w:t>AAEF</w:t>
      </w:r>
    </w:p>
    <w:p w14:paraId="778274BE" w14:textId="16609D91" w:rsidR="009D4F0E" w:rsidRPr="009D4F0E" w:rsidRDefault="009D4F0E" w:rsidP="009D4F0E">
      <w:pPr>
        <w:snapToGrid w:val="0"/>
        <w:spacing w:after="240" w:line="360" w:lineRule="auto"/>
        <w:jc w:val="center"/>
        <w:rPr>
          <w:rFonts w:ascii="Arial" w:hAnsi="Arial" w:cs="Arial"/>
          <w:b/>
          <w:bCs/>
          <w:lang w:val="es-ES_tradnl"/>
        </w:rPr>
      </w:pPr>
      <w:r w:rsidRPr="009D4F0E">
        <w:rPr>
          <w:rFonts w:ascii="Arial" w:hAnsi="Arial" w:cs="Arial"/>
          <w:b/>
          <w:bCs/>
          <w:lang w:val="es-ES_tradnl"/>
        </w:rPr>
        <w:t>COMISION DE TRIBUTOS LOCALES</w:t>
      </w:r>
    </w:p>
    <w:p w14:paraId="1FE2D458" w14:textId="3575FBA7" w:rsidR="009D4F0E" w:rsidRPr="009D4F0E" w:rsidRDefault="009D4F0E" w:rsidP="009D4F0E">
      <w:pPr>
        <w:snapToGrid w:val="0"/>
        <w:spacing w:after="240" w:line="360" w:lineRule="auto"/>
        <w:jc w:val="center"/>
        <w:rPr>
          <w:rFonts w:ascii="Arial" w:hAnsi="Arial" w:cs="Arial"/>
          <w:b/>
          <w:bCs/>
          <w:lang w:val="es-ES_tradnl"/>
        </w:rPr>
      </w:pPr>
      <w:r w:rsidRPr="009D4F0E">
        <w:rPr>
          <w:rFonts w:ascii="Arial" w:hAnsi="Arial" w:cs="Arial"/>
          <w:b/>
          <w:bCs/>
          <w:lang w:val="es-ES_tradnl"/>
        </w:rPr>
        <w:t>MAYO/2023</w:t>
      </w:r>
    </w:p>
    <w:p w14:paraId="6F81267E" w14:textId="31F55AD5" w:rsidR="009D4F0E" w:rsidRPr="009D4F0E" w:rsidRDefault="009D4F0E" w:rsidP="009D4F0E">
      <w:pPr>
        <w:snapToGrid w:val="0"/>
        <w:spacing w:after="240" w:line="360" w:lineRule="auto"/>
        <w:jc w:val="both"/>
        <w:rPr>
          <w:rFonts w:ascii="Arial" w:hAnsi="Arial" w:cs="Arial"/>
          <w:b/>
          <w:bCs/>
          <w:sz w:val="20"/>
          <w:szCs w:val="20"/>
          <w:lang w:val="es-ES_tradnl"/>
        </w:rPr>
      </w:pPr>
      <w:r w:rsidRPr="009D4F0E">
        <w:rPr>
          <w:rFonts w:ascii="Arial" w:hAnsi="Arial" w:cs="Arial"/>
          <w:b/>
          <w:bCs/>
          <w:sz w:val="20"/>
          <w:szCs w:val="20"/>
          <w:lang w:val="es-ES_tradnl"/>
        </w:rPr>
        <w:t>IMPUESTO DE SELLOS</w:t>
      </w:r>
    </w:p>
    <w:p w14:paraId="203F8CF4" w14:textId="629ED8C1" w:rsidR="009D4F0E" w:rsidRDefault="009D4F0E" w:rsidP="009D4F0E">
      <w:pPr>
        <w:pStyle w:val="Prrafodelista"/>
        <w:numPr>
          <w:ilvl w:val="0"/>
          <w:numId w:val="1"/>
        </w:numPr>
        <w:snapToGrid w:val="0"/>
        <w:spacing w:after="240" w:line="360" w:lineRule="auto"/>
        <w:contextualSpacing w:val="0"/>
        <w:jc w:val="both"/>
        <w:rPr>
          <w:rFonts w:ascii="Arial" w:hAnsi="Arial" w:cs="Arial"/>
          <w:sz w:val="20"/>
          <w:szCs w:val="20"/>
          <w:lang w:val="es-ES_tradnl"/>
        </w:rPr>
      </w:pPr>
      <w:r w:rsidRPr="009D4F0E">
        <w:rPr>
          <w:rFonts w:ascii="Arial" w:hAnsi="Arial" w:cs="Arial"/>
          <w:b/>
          <w:bCs/>
          <w:sz w:val="20"/>
          <w:szCs w:val="20"/>
          <w:lang w:val="es-ES_tradnl"/>
        </w:rPr>
        <w:t>Provincia de Misiones</w:t>
      </w:r>
      <w:r>
        <w:rPr>
          <w:rFonts w:ascii="Arial" w:hAnsi="Arial" w:cs="Arial"/>
          <w:sz w:val="20"/>
          <w:szCs w:val="20"/>
          <w:lang w:val="es-ES_tradnl"/>
        </w:rPr>
        <w:t xml:space="preserve">. Gravabilidad de los contratos celebrados entre ausentes con cláusulas de aceptación tácita. Conculcación de la Ley de Coparticipación (23.548) y, en particular, de la jurisprudencia </w:t>
      </w:r>
      <w:r w:rsidR="008F6BD8">
        <w:rPr>
          <w:rFonts w:ascii="Arial" w:hAnsi="Arial" w:cs="Arial"/>
          <w:sz w:val="20"/>
          <w:szCs w:val="20"/>
          <w:lang w:val="es-ES_tradnl"/>
        </w:rPr>
        <w:t>de instrumento autosuficiente como principio rector del tributo emanada de la CSJN</w:t>
      </w:r>
      <w:r>
        <w:rPr>
          <w:rFonts w:ascii="Arial" w:hAnsi="Arial" w:cs="Arial"/>
          <w:sz w:val="20"/>
          <w:szCs w:val="20"/>
          <w:lang w:val="es-ES_tradnl"/>
        </w:rPr>
        <w:t xml:space="preserve">. </w:t>
      </w:r>
      <w:r w:rsidRPr="009D4F0E">
        <w:rPr>
          <w:rFonts w:ascii="Arial" w:hAnsi="Arial" w:cs="Arial"/>
          <w:b/>
          <w:bCs/>
          <w:i/>
          <w:iCs/>
          <w:sz w:val="20"/>
          <w:szCs w:val="20"/>
          <w:lang w:val="es-ES_tradnl"/>
        </w:rPr>
        <w:t>“KIA Argentina S.A. c/Dirección General de Rentas de la Provincia de Misiones s/Demanda Contencioso Administrativa”</w:t>
      </w:r>
      <w:r>
        <w:rPr>
          <w:rFonts w:ascii="Arial" w:hAnsi="Arial" w:cs="Arial"/>
          <w:sz w:val="20"/>
          <w:szCs w:val="20"/>
          <w:lang w:val="es-ES_tradnl"/>
        </w:rPr>
        <w:t xml:space="preserve">. </w:t>
      </w:r>
      <w:r w:rsidRPr="009D4F0E">
        <w:rPr>
          <w:rFonts w:ascii="Arial" w:hAnsi="Arial" w:cs="Arial"/>
          <w:b/>
          <w:bCs/>
          <w:sz w:val="20"/>
          <w:szCs w:val="20"/>
          <w:lang w:val="es-ES_tradnl"/>
        </w:rPr>
        <w:t>Procuración General de la Nación (22/03/2023)</w:t>
      </w:r>
      <w:r>
        <w:rPr>
          <w:rFonts w:ascii="Arial" w:hAnsi="Arial" w:cs="Arial"/>
          <w:sz w:val="20"/>
          <w:szCs w:val="20"/>
          <w:lang w:val="es-ES_tradnl"/>
        </w:rPr>
        <w:t>.</w:t>
      </w:r>
    </w:p>
    <w:p w14:paraId="549CD820" w14:textId="42D580D1" w:rsidR="009D4F0E" w:rsidRDefault="008F6BD8" w:rsidP="009D4F0E">
      <w:pPr>
        <w:pStyle w:val="Prrafodelista"/>
        <w:numPr>
          <w:ilvl w:val="0"/>
          <w:numId w:val="1"/>
        </w:numPr>
        <w:snapToGrid w:val="0"/>
        <w:spacing w:after="240" w:line="360" w:lineRule="auto"/>
        <w:contextualSpacing w:val="0"/>
        <w:jc w:val="both"/>
        <w:rPr>
          <w:rFonts w:ascii="Arial" w:hAnsi="Arial" w:cs="Arial"/>
          <w:sz w:val="20"/>
          <w:szCs w:val="20"/>
          <w:lang w:val="es-ES_tradnl"/>
        </w:rPr>
      </w:pPr>
      <w:r w:rsidRPr="008F6BD8">
        <w:rPr>
          <w:rFonts w:ascii="Arial" w:hAnsi="Arial" w:cs="Arial"/>
          <w:b/>
          <w:bCs/>
          <w:sz w:val="20"/>
          <w:szCs w:val="20"/>
          <w:lang w:val="es-ES_tradnl"/>
        </w:rPr>
        <w:t>Provincia de Salta.</w:t>
      </w:r>
      <w:r>
        <w:rPr>
          <w:rFonts w:ascii="Arial" w:hAnsi="Arial" w:cs="Arial"/>
          <w:sz w:val="20"/>
          <w:szCs w:val="20"/>
          <w:lang w:val="es-ES_tradnl"/>
        </w:rPr>
        <w:t xml:space="preserve"> Gravabilidad del Contrato de Operación y Mantenimiento de la Ampliación del Fideicomiso del Gas. Partes del contrato: Estado Nacional – Secretaría de Energía (organizador), Transportadora del Gas del Norte S.A. (fiduciante) y Nación Fideicomisos S.A. (comitente). Todo sujeto a la regulación del Ente Nacional Regulador del Gas. La Corte Suprema de Justicia de la Nación resuelve en favor de su competencia originaria y, más allá de plantear que el otorgamiento de medidas cautelares en materia tributaria debe ser restrictivo, en el caso particular considera que se encuentra probada la verosimilitud del derecho y el peligro en la demora, por lo tanto se concede la medida cautela (se cita como antecedente Nación Fideicomiso S.A. – 21/08/2013). </w:t>
      </w:r>
      <w:r w:rsidR="00165191" w:rsidRPr="00165191">
        <w:rPr>
          <w:rFonts w:ascii="Arial" w:hAnsi="Arial" w:cs="Arial"/>
          <w:b/>
          <w:bCs/>
          <w:i/>
          <w:iCs/>
          <w:sz w:val="20"/>
          <w:szCs w:val="20"/>
          <w:lang w:val="es-ES_tradnl"/>
        </w:rPr>
        <w:t xml:space="preserve">“CSJN. </w:t>
      </w:r>
      <w:r w:rsidRPr="00165191">
        <w:rPr>
          <w:rFonts w:ascii="Arial" w:hAnsi="Arial" w:cs="Arial"/>
          <w:b/>
          <w:bCs/>
          <w:i/>
          <w:iCs/>
          <w:sz w:val="20"/>
          <w:szCs w:val="20"/>
          <w:lang w:val="es-ES_tradnl"/>
        </w:rPr>
        <w:t>Transportadora del Gas del Norte S.A. c/Provincia de Salta s/acción declarativa de certeza</w:t>
      </w:r>
      <w:r w:rsidR="00165191" w:rsidRPr="00165191">
        <w:rPr>
          <w:rFonts w:ascii="Arial" w:hAnsi="Arial" w:cs="Arial"/>
          <w:b/>
          <w:bCs/>
          <w:i/>
          <w:iCs/>
          <w:sz w:val="20"/>
          <w:szCs w:val="20"/>
          <w:lang w:val="es-ES_tradnl"/>
        </w:rPr>
        <w:t xml:space="preserve"> (13/04/2023)”</w:t>
      </w:r>
      <w:r>
        <w:rPr>
          <w:rFonts w:ascii="Arial" w:hAnsi="Arial" w:cs="Arial"/>
          <w:sz w:val="20"/>
          <w:szCs w:val="20"/>
          <w:lang w:val="es-ES_tradnl"/>
        </w:rPr>
        <w:t>.</w:t>
      </w:r>
    </w:p>
    <w:p w14:paraId="6EDE5AC6" w14:textId="1DF36C0E" w:rsidR="008F6BD8" w:rsidRDefault="00165191" w:rsidP="000907BC">
      <w:pPr>
        <w:pStyle w:val="Prrafodelista"/>
        <w:numPr>
          <w:ilvl w:val="0"/>
          <w:numId w:val="1"/>
        </w:numPr>
        <w:snapToGrid w:val="0"/>
        <w:spacing w:after="240" w:line="360" w:lineRule="auto"/>
        <w:contextualSpacing w:val="0"/>
        <w:jc w:val="both"/>
        <w:rPr>
          <w:rFonts w:ascii="Arial" w:hAnsi="Arial" w:cs="Arial"/>
          <w:sz w:val="20"/>
          <w:szCs w:val="20"/>
          <w:lang w:val="es-ES_tradnl"/>
        </w:rPr>
      </w:pPr>
      <w:r w:rsidRPr="000907BC">
        <w:rPr>
          <w:rFonts w:ascii="Arial" w:hAnsi="Arial" w:cs="Arial"/>
          <w:b/>
          <w:bCs/>
          <w:sz w:val="20"/>
          <w:szCs w:val="20"/>
          <w:lang w:val="es-ES_tradnl"/>
        </w:rPr>
        <w:t xml:space="preserve">Ciudad Autónoma de Buenos Aires. </w:t>
      </w:r>
      <w:r w:rsidR="000907BC">
        <w:rPr>
          <w:rFonts w:ascii="Arial" w:hAnsi="Arial" w:cs="Arial"/>
          <w:sz w:val="20"/>
          <w:szCs w:val="20"/>
          <w:lang w:val="es-ES_tradnl"/>
        </w:rPr>
        <w:t xml:space="preserve">Solicitud de medidas cautelares ante las intimaciones de cobro. </w:t>
      </w:r>
      <w:r w:rsidRPr="000907BC">
        <w:rPr>
          <w:rFonts w:ascii="Arial" w:hAnsi="Arial" w:cs="Arial"/>
          <w:sz w:val="20"/>
          <w:szCs w:val="20"/>
          <w:lang w:val="es-ES_tradnl"/>
        </w:rPr>
        <w:t>La jueza de primera instancia había resuelto</w:t>
      </w:r>
      <w:r w:rsidRPr="000907BC">
        <w:rPr>
          <w:rFonts w:ascii="Arial" w:hAnsi="Arial" w:cs="Arial"/>
          <w:i/>
          <w:iCs/>
          <w:sz w:val="20"/>
          <w:szCs w:val="20"/>
          <w:lang w:val="es-ES_tradnl"/>
        </w:rPr>
        <w:t>: “hacer lugar a la medida cautelar solicitada, ordenando al GCBA que se abstenga de intimar, reclamar o exigir, administrativa o judicialmente a la actora el Impuesto de Sellos cuestionado en la presente, hasta tanto exista sentencia definitiva y firme en autos”</w:t>
      </w:r>
      <w:r w:rsidRPr="000907BC">
        <w:rPr>
          <w:rFonts w:ascii="Arial" w:hAnsi="Arial" w:cs="Arial"/>
          <w:sz w:val="20"/>
          <w:szCs w:val="20"/>
          <w:lang w:val="es-ES_tradnl"/>
        </w:rPr>
        <w:t xml:space="preserve">. Para así resolver tuvo en cuenta: </w:t>
      </w:r>
      <w:r w:rsidRPr="000907BC">
        <w:rPr>
          <w:rFonts w:ascii="Arial" w:hAnsi="Arial" w:cs="Arial"/>
          <w:i/>
          <w:iCs/>
          <w:sz w:val="20"/>
          <w:szCs w:val="20"/>
          <w:lang w:val="es-ES_tradnl"/>
        </w:rPr>
        <w:t xml:space="preserve">“resulta razonable inferir que el pago de una suma de $900.650,67, con intereses, impactaría directamente en el giro ordinario de cualquier empresa, provocando un perjuicio de difícil reparación ulterior lo que torna aplicable lo establecido en el artículo 189 inc. 1º del </w:t>
      </w:r>
      <w:proofErr w:type="spellStart"/>
      <w:r w:rsidRPr="000907BC">
        <w:rPr>
          <w:rFonts w:ascii="Arial" w:hAnsi="Arial" w:cs="Arial"/>
          <w:i/>
          <w:iCs/>
          <w:sz w:val="20"/>
          <w:szCs w:val="20"/>
          <w:lang w:val="es-ES_tradnl"/>
        </w:rPr>
        <w:t>CCAyT</w:t>
      </w:r>
      <w:proofErr w:type="spellEnd"/>
      <w:r w:rsidRPr="000907BC">
        <w:rPr>
          <w:rFonts w:ascii="Arial" w:hAnsi="Arial" w:cs="Arial"/>
          <w:i/>
          <w:iCs/>
          <w:sz w:val="20"/>
          <w:szCs w:val="20"/>
          <w:lang w:val="es-ES_tradnl"/>
        </w:rPr>
        <w:t xml:space="preserve">” </w:t>
      </w:r>
      <w:r w:rsidRPr="000907BC">
        <w:rPr>
          <w:rFonts w:ascii="Arial" w:hAnsi="Arial" w:cs="Arial"/>
          <w:sz w:val="20"/>
          <w:szCs w:val="20"/>
          <w:lang w:val="es-ES_tradnl"/>
        </w:rPr>
        <w:t xml:space="preserve">y, en cuanto a la verosimilitud del derecho ponderó que </w:t>
      </w:r>
      <w:r w:rsidRPr="000907BC">
        <w:rPr>
          <w:rFonts w:ascii="Arial" w:hAnsi="Arial" w:cs="Arial"/>
          <w:i/>
          <w:iCs/>
          <w:sz w:val="20"/>
          <w:szCs w:val="20"/>
          <w:lang w:val="es-ES_tradnl"/>
        </w:rPr>
        <w:t>“considerando particularmente una eventual vulneración del derecho de defensa, puesto que no ha podido constatarse si fue debidamente tratado el planteo efectuado por la actora en la sede administrativa”</w:t>
      </w:r>
      <w:r w:rsidRPr="000907BC">
        <w:rPr>
          <w:rFonts w:ascii="Arial" w:hAnsi="Arial" w:cs="Arial"/>
          <w:sz w:val="20"/>
          <w:szCs w:val="20"/>
          <w:lang w:val="es-ES_tradnl"/>
        </w:rPr>
        <w:t xml:space="preserve">. Ante la apelación de AGIP la </w:t>
      </w:r>
      <w:r w:rsidRPr="000907BC">
        <w:rPr>
          <w:rFonts w:ascii="Arial" w:hAnsi="Arial" w:cs="Arial"/>
          <w:b/>
          <w:bCs/>
          <w:sz w:val="20"/>
          <w:szCs w:val="20"/>
          <w:lang w:val="es-ES_tradnl"/>
        </w:rPr>
        <w:t>Cámara</w:t>
      </w:r>
      <w:r w:rsidRPr="000907BC">
        <w:rPr>
          <w:rFonts w:ascii="Arial" w:hAnsi="Arial" w:cs="Arial"/>
          <w:sz w:val="20"/>
          <w:szCs w:val="20"/>
          <w:lang w:val="es-ES_tradnl"/>
        </w:rPr>
        <w:t xml:space="preserve"> plantea que “</w:t>
      </w:r>
      <w:r w:rsidRPr="000907BC">
        <w:rPr>
          <w:rFonts w:ascii="Arial" w:hAnsi="Arial" w:cs="Arial"/>
          <w:i/>
          <w:iCs/>
          <w:sz w:val="20"/>
          <w:szCs w:val="20"/>
          <w:lang w:val="es-ES_tradnl"/>
        </w:rPr>
        <w:t xml:space="preserve">no advierte la existencia de peligro en la demora </w:t>
      </w:r>
      <w:r w:rsidRPr="000907BC">
        <w:rPr>
          <w:rFonts w:ascii="Arial" w:hAnsi="Arial" w:cs="Arial"/>
          <w:i/>
          <w:iCs/>
          <w:sz w:val="20"/>
          <w:szCs w:val="20"/>
          <w:lang w:val="es-ES_tradnl"/>
        </w:rPr>
        <w:lastRenderedPageBreak/>
        <w:t xml:space="preserve">en tanto no encuentra acreditada en la causa circunstancia que permita considerar que el tema en debate alcance una magnitud tal que amerite acceder a la pretensión cautelar”. </w:t>
      </w:r>
      <w:r w:rsidRPr="000907BC">
        <w:rPr>
          <w:rFonts w:ascii="Arial" w:hAnsi="Arial" w:cs="Arial"/>
          <w:sz w:val="20"/>
          <w:szCs w:val="20"/>
          <w:lang w:val="es-ES_tradnl"/>
        </w:rPr>
        <w:t xml:space="preserve">Por lo tanto se hace lugar a la apelación. </w:t>
      </w:r>
      <w:r w:rsidR="000907BC" w:rsidRPr="000907BC">
        <w:rPr>
          <w:rFonts w:ascii="Arial" w:hAnsi="Arial" w:cs="Arial"/>
          <w:b/>
          <w:bCs/>
          <w:sz w:val="20"/>
          <w:szCs w:val="20"/>
          <w:lang w:val="es-ES_tradnl"/>
        </w:rPr>
        <w:t xml:space="preserve">Cámara de Apelaciones en lo </w:t>
      </w:r>
      <w:proofErr w:type="spellStart"/>
      <w:r w:rsidR="000907BC" w:rsidRPr="000907BC">
        <w:rPr>
          <w:rFonts w:ascii="Arial" w:hAnsi="Arial" w:cs="Arial"/>
          <w:b/>
          <w:bCs/>
          <w:sz w:val="20"/>
          <w:szCs w:val="20"/>
          <w:lang w:val="es-ES_tradnl"/>
        </w:rPr>
        <w:t>CATyRC</w:t>
      </w:r>
      <w:proofErr w:type="spellEnd"/>
      <w:r w:rsidR="000907BC" w:rsidRPr="000907BC">
        <w:rPr>
          <w:rFonts w:ascii="Arial" w:hAnsi="Arial" w:cs="Arial"/>
          <w:b/>
          <w:bCs/>
          <w:sz w:val="20"/>
          <w:szCs w:val="20"/>
          <w:lang w:val="es-ES_tradnl"/>
        </w:rPr>
        <w:t xml:space="preserve"> (Sala IV).</w:t>
      </w:r>
      <w:r w:rsidR="000907BC" w:rsidRPr="000907BC">
        <w:rPr>
          <w:rFonts w:ascii="Arial" w:hAnsi="Arial" w:cs="Arial"/>
          <w:sz w:val="20"/>
          <w:szCs w:val="20"/>
          <w:lang w:val="es-ES_tradnl"/>
        </w:rPr>
        <w:t xml:space="preserve"> </w:t>
      </w:r>
      <w:r w:rsidR="000907BC" w:rsidRPr="000907BC">
        <w:rPr>
          <w:rFonts w:ascii="Arial" w:hAnsi="Arial" w:cs="Arial"/>
          <w:b/>
          <w:bCs/>
          <w:i/>
          <w:iCs/>
          <w:sz w:val="20"/>
          <w:szCs w:val="20"/>
          <w:lang w:val="es-ES_tradnl"/>
        </w:rPr>
        <w:t>“BGH S.A. contra GCBA sobre Incidente de Apelación - Acción Meramente Declarativa (30/03/2023)”</w:t>
      </w:r>
      <w:r w:rsidR="000907BC">
        <w:rPr>
          <w:rFonts w:ascii="Arial" w:hAnsi="Arial" w:cs="Arial"/>
          <w:sz w:val="20"/>
          <w:szCs w:val="20"/>
          <w:lang w:val="es-ES_tradnl"/>
        </w:rPr>
        <w:t>.</w:t>
      </w:r>
    </w:p>
    <w:p w14:paraId="0E8A6FDF" w14:textId="47CE0601" w:rsidR="000907BC" w:rsidRPr="000907BC" w:rsidRDefault="008478A8" w:rsidP="000907BC">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CORTE SUPREMA DE JUSTICIA DE LA NACION</w:t>
      </w:r>
    </w:p>
    <w:p w14:paraId="210E104C" w14:textId="01323ACA" w:rsidR="00252AAB" w:rsidRDefault="00252AAB" w:rsidP="008478A8">
      <w:pPr>
        <w:pStyle w:val="Prrafodelista"/>
        <w:numPr>
          <w:ilvl w:val="0"/>
          <w:numId w:val="2"/>
        </w:numPr>
        <w:snapToGrid w:val="0"/>
        <w:spacing w:after="240" w:line="360" w:lineRule="auto"/>
        <w:ind w:hanging="357"/>
        <w:contextualSpacing w:val="0"/>
        <w:jc w:val="both"/>
        <w:rPr>
          <w:rFonts w:ascii="Arial" w:hAnsi="Arial" w:cs="Arial"/>
          <w:sz w:val="20"/>
          <w:szCs w:val="20"/>
          <w:lang w:val="es-ES_tradnl"/>
        </w:rPr>
      </w:pPr>
      <w:r w:rsidRPr="00252AAB">
        <w:rPr>
          <w:rFonts w:ascii="Arial" w:hAnsi="Arial" w:cs="Arial"/>
          <w:b/>
          <w:bCs/>
          <w:sz w:val="20"/>
          <w:szCs w:val="20"/>
          <w:lang w:val="es-ES_tradnl"/>
        </w:rPr>
        <w:t xml:space="preserve">Tasa por </w:t>
      </w:r>
      <w:proofErr w:type="spellStart"/>
      <w:r w:rsidRPr="00252AAB">
        <w:rPr>
          <w:rFonts w:ascii="Arial" w:hAnsi="Arial" w:cs="Arial"/>
          <w:b/>
          <w:bCs/>
          <w:sz w:val="20"/>
          <w:szCs w:val="20"/>
          <w:lang w:val="es-ES_tradnl"/>
        </w:rPr>
        <w:t>Reinspección</w:t>
      </w:r>
      <w:proofErr w:type="spellEnd"/>
      <w:r w:rsidRPr="00252AAB">
        <w:rPr>
          <w:rFonts w:ascii="Arial" w:hAnsi="Arial" w:cs="Arial"/>
          <w:b/>
          <w:bCs/>
          <w:sz w:val="20"/>
          <w:szCs w:val="20"/>
          <w:lang w:val="es-ES_tradnl"/>
        </w:rPr>
        <w:t xml:space="preserve"> Bromatológica</w:t>
      </w:r>
      <w:r>
        <w:rPr>
          <w:rFonts w:ascii="Arial" w:hAnsi="Arial" w:cs="Arial"/>
          <w:sz w:val="20"/>
          <w:szCs w:val="20"/>
          <w:lang w:val="es-ES_tradnl"/>
        </w:rPr>
        <w:t xml:space="preserve">. Vulneración de las normas del CAA y de la Constitución Nacional. Aplicación de la jurisprudencia </w:t>
      </w:r>
      <w:r w:rsidRPr="008478A8">
        <w:rPr>
          <w:rFonts w:ascii="Arial" w:hAnsi="Arial" w:cs="Arial"/>
          <w:b/>
          <w:bCs/>
          <w:i/>
          <w:iCs/>
          <w:sz w:val="20"/>
          <w:szCs w:val="20"/>
          <w:lang w:val="es-ES_tradnl"/>
        </w:rPr>
        <w:t>Logística la Serenísima S.A.</w:t>
      </w:r>
      <w:r>
        <w:rPr>
          <w:rFonts w:ascii="Arial" w:hAnsi="Arial" w:cs="Arial"/>
          <w:sz w:val="20"/>
          <w:szCs w:val="20"/>
          <w:lang w:val="es-ES_tradnl"/>
        </w:rPr>
        <w:t xml:space="preserve"> Se rechaza la excepción de falta de legitimación pasiva interpuesta por la </w:t>
      </w:r>
      <w:r w:rsidR="008478A8">
        <w:rPr>
          <w:rFonts w:ascii="Arial" w:hAnsi="Arial" w:cs="Arial"/>
          <w:sz w:val="20"/>
          <w:szCs w:val="20"/>
          <w:lang w:val="es-ES_tradnl"/>
        </w:rPr>
        <w:t>p</w:t>
      </w:r>
      <w:r>
        <w:rPr>
          <w:rFonts w:ascii="Arial" w:hAnsi="Arial" w:cs="Arial"/>
          <w:sz w:val="20"/>
          <w:szCs w:val="20"/>
          <w:lang w:val="es-ES_tradnl"/>
        </w:rPr>
        <w:t xml:space="preserve">rovincia argumentando que la tasa la cobra el </w:t>
      </w:r>
      <w:r w:rsidRPr="008478A8">
        <w:rPr>
          <w:rFonts w:ascii="Arial" w:hAnsi="Arial" w:cs="Arial"/>
          <w:b/>
          <w:bCs/>
          <w:sz w:val="20"/>
          <w:szCs w:val="20"/>
          <w:lang w:val="es-ES_tradnl"/>
        </w:rPr>
        <w:t xml:space="preserve">Control de Ingreso Provincial de Productos Alimenticios (CIPPA) </w:t>
      </w:r>
      <w:r>
        <w:rPr>
          <w:rFonts w:ascii="Arial" w:hAnsi="Arial" w:cs="Arial"/>
          <w:sz w:val="20"/>
          <w:szCs w:val="20"/>
          <w:lang w:val="es-ES_tradnl"/>
        </w:rPr>
        <w:t xml:space="preserve">que es un organismo creado por ley provincial. Se resalta la existencia de una conducta estatal explícita a los fines de convalidar </w:t>
      </w:r>
      <w:r w:rsidR="008478A8">
        <w:rPr>
          <w:rFonts w:ascii="Arial" w:hAnsi="Arial" w:cs="Arial"/>
          <w:sz w:val="20"/>
          <w:szCs w:val="20"/>
          <w:lang w:val="es-ES_tradnl"/>
        </w:rPr>
        <w:t xml:space="preserve">los elementos que hacen al </w:t>
      </w:r>
      <w:r>
        <w:rPr>
          <w:rFonts w:ascii="Arial" w:hAnsi="Arial" w:cs="Arial"/>
          <w:sz w:val="20"/>
          <w:szCs w:val="20"/>
          <w:lang w:val="es-ES_tradnl"/>
        </w:rPr>
        <w:t xml:space="preserve">tipo </w:t>
      </w:r>
      <w:r w:rsidR="008478A8">
        <w:rPr>
          <w:rFonts w:ascii="Arial" w:hAnsi="Arial" w:cs="Arial"/>
          <w:sz w:val="20"/>
          <w:szCs w:val="20"/>
          <w:lang w:val="es-ES_tradnl"/>
        </w:rPr>
        <w:t xml:space="preserve">procesal elegido por la actora. </w:t>
      </w:r>
      <w:r w:rsidR="008478A8" w:rsidRPr="008478A8">
        <w:rPr>
          <w:rFonts w:ascii="Arial" w:hAnsi="Arial" w:cs="Arial"/>
          <w:b/>
          <w:bCs/>
          <w:i/>
          <w:iCs/>
          <w:sz w:val="20"/>
          <w:szCs w:val="20"/>
          <w:lang w:val="es-ES_tradnl"/>
        </w:rPr>
        <w:t>“</w:t>
      </w:r>
      <w:proofErr w:type="spellStart"/>
      <w:r w:rsidR="008478A8" w:rsidRPr="008478A8">
        <w:rPr>
          <w:rFonts w:ascii="Arial" w:hAnsi="Arial" w:cs="Arial"/>
          <w:b/>
          <w:bCs/>
          <w:i/>
          <w:iCs/>
          <w:sz w:val="20"/>
          <w:szCs w:val="20"/>
          <w:lang w:val="es-ES_tradnl"/>
        </w:rPr>
        <w:t>Sancor</w:t>
      </w:r>
      <w:proofErr w:type="spellEnd"/>
      <w:r w:rsidR="008478A8" w:rsidRPr="008478A8">
        <w:rPr>
          <w:rFonts w:ascii="Arial" w:hAnsi="Arial" w:cs="Arial"/>
          <w:b/>
          <w:bCs/>
          <w:i/>
          <w:iCs/>
          <w:sz w:val="20"/>
          <w:szCs w:val="20"/>
          <w:lang w:val="es-ES_tradnl"/>
        </w:rPr>
        <w:t xml:space="preserve"> </w:t>
      </w:r>
      <w:proofErr w:type="spellStart"/>
      <w:r w:rsidR="008478A8" w:rsidRPr="008478A8">
        <w:rPr>
          <w:rFonts w:ascii="Arial" w:hAnsi="Arial" w:cs="Arial"/>
          <w:b/>
          <w:bCs/>
          <w:i/>
          <w:iCs/>
          <w:sz w:val="20"/>
          <w:szCs w:val="20"/>
          <w:lang w:val="es-ES_tradnl"/>
        </w:rPr>
        <w:t>Coop</w:t>
      </w:r>
      <w:proofErr w:type="spellEnd"/>
      <w:r w:rsidR="008478A8" w:rsidRPr="008478A8">
        <w:rPr>
          <w:rFonts w:ascii="Arial" w:hAnsi="Arial" w:cs="Arial"/>
          <w:b/>
          <w:bCs/>
          <w:i/>
          <w:iCs/>
          <w:sz w:val="20"/>
          <w:szCs w:val="20"/>
          <w:lang w:val="es-ES_tradnl"/>
        </w:rPr>
        <w:t xml:space="preserve">. Unidas </w:t>
      </w:r>
      <w:proofErr w:type="spellStart"/>
      <w:r w:rsidR="008478A8" w:rsidRPr="008478A8">
        <w:rPr>
          <w:rFonts w:ascii="Arial" w:hAnsi="Arial" w:cs="Arial"/>
          <w:b/>
          <w:bCs/>
          <w:i/>
          <w:iCs/>
          <w:sz w:val="20"/>
          <w:szCs w:val="20"/>
          <w:lang w:val="es-ES_tradnl"/>
        </w:rPr>
        <w:t>Ltd</w:t>
      </w:r>
      <w:proofErr w:type="spellEnd"/>
      <w:r w:rsidR="008478A8" w:rsidRPr="008478A8">
        <w:rPr>
          <w:rFonts w:ascii="Arial" w:hAnsi="Arial" w:cs="Arial"/>
          <w:b/>
          <w:bCs/>
          <w:i/>
          <w:iCs/>
          <w:sz w:val="20"/>
          <w:szCs w:val="20"/>
          <w:lang w:val="es-ES_tradnl"/>
        </w:rPr>
        <w:t xml:space="preserve"> c/Provincia de</w:t>
      </w:r>
      <w:r w:rsidR="008478A8">
        <w:rPr>
          <w:rFonts w:ascii="Arial" w:hAnsi="Arial" w:cs="Arial"/>
          <w:b/>
          <w:bCs/>
          <w:i/>
          <w:iCs/>
          <w:sz w:val="20"/>
          <w:szCs w:val="20"/>
          <w:lang w:val="es-ES_tradnl"/>
        </w:rPr>
        <w:t>l</w:t>
      </w:r>
      <w:r w:rsidR="008478A8" w:rsidRPr="008478A8">
        <w:rPr>
          <w:rFonts w:ascii="Arial" w:hAnsi="Arial" w:cs="Arial"/>
          <w:b/>
          <w:bCs/>
          <w:i/>
          <w:iCs/>
          <w:sz w:val="20"/>
          <w:szCs w:val="20"/>
          <w:lang w:val="es-ES_tradnl"/>
        </w:rPr>
        <w:t xml:space="preserve"> Neuquén s/ acción declarativa de certeza (3/05/2023)”</w:t>
      </w:r>
      <w:r w:rsidR="008478A8">
        <w:rPr>
          <w:rFonts w:ascii="Arial" w:hAnsi="Arial" w:cs="Arial"/>
          <w:sz w:val="20"/>
          <w:szCs w:val="20"/>
          <w:lang w:val="es-ES_tradnl"/>
        </w:rPr>
        <w:t>.</w:t>
      </w:r>
    </w:p>
    <w:p w14:paraId="74CE2BC4" w14:textId="4E781696" w:rsidR="008478A8" w:rsidRDefault="008478A8" w:rsidP="008478A8">
      <w:pPr>
        <w:pStyle w:val="Prrafodelista"/>
        <w:numPr>
          <w:ilvl w:val="1"/>
          <w:numId w:val="2"/>
        </w:numPr>
        <w:snapToGrid w:val="0"/>
        <w:spacing w:after="240" w:line="360" w:lineRule="auto"/>
        <w:ind w:hanging="357"/>
        <w:contextualSpacing w:val="0"/>
        <w:jc w:val="both"/>
        <w:rPr>
          <w:rFonts w:ascii="Arial" w:hAnsi="Arial" w:cs="Arial"/>
          <w:sz w:val="20"/>
          <w:szCs w:val="20"/>
          <w:lang w:val="es-ES_tradnl"/>
        </w:rPr>
      </w:pPr>
      <w:r>
        <w:rPr>
          <w:rFonts w:ascii="Arial" w:hAnsi="Arial" w:cs="Arial"/>
          <w:b/>
          <w:bCs/>
          <w:sz w:val="20"/>
          <w:szCs w:val="20"/>
          <w:lang w:val="es-ES_tradnl"/>
        </w:rPr>
        <w:t xml:space="preserve">“ARCOR S.A.I.C. </w:t>
      </w:r>
      <w:proofErr w:type="spellStart"/>
      <w:r w:rsidRPr="008478A8">
        <w:rPr>
          <w:rFonts w:ascii="Arial" w:hAnsi="Arial" w:cs="Arial"/>
          <w:b/>
          <w:bCs/>
          <w:i/>
          <w:iCs/>
          <w:sz w:val="20"/>
          <w:szCs w:val="20"/>
          <w:lang w:val="es-ES_tradnl"/>
        </w:rPr>
        <w:t>Ltd</w:t>
      </w:r>
      <w:proofErr w:type="spellEnd"/>
      <w:r w:rsidRPr="008478A8">
        <w:rPr>
          <w:rFonts w:ascii="Arial" w:hAnsi="Arial" w:cs="Arial"/>
          <w:b/>
          <w:bCs/>
          <w:i/>
          <w:iCs/>
          <w:sz w:val="20"/>
          <w:szCs w:val="20"/>
          <w:lang w:val="es-ES_tradnl"/>
        </w:rPr>
        <w:t xml:space="preserve"> c/Provincia de</w:t>
      </w:r>
      <w:r>
        <w:rPr>
          <w:rFonts w:ascii="Arial" w:hAnsi="Arial" w:cs="Arial"/>
          <w:b/>
          <w:bCs/>
          <w:i/>
          <w:iCs/>
          <w:sz w:val="20"/>
          <w:szCs w:val="20"/>
          <w:lang w:val="es-ES_tradnl"/>
        </w:rPr>
        <w:t>l</w:t>
      </w:r>
      <w:r w:rsidRPr="008478A8">
        <w:rPr>
          <w:rFonts w:ascii="Arial" w:hAnsi="Arial" w:cs="Arial"/>
          <w:b/>
          <w:bCs/>
          <w:i/>
          <w:iCs/>
          <w:sz w:val="20"/>
          <w:szCs w:val="20"/>
          <w:lang w:val="es-ES_tradnl"/>
        </w:rPr>
        <w:t xml:space="preserve"> Neuquén s/ acción declarativa de certeza (</w:t>
      </w:r>
      <w:r>
        <w:rPr>
          <w:rFonts w:ascii="Arial" w:hAnsi="Arial" w:cs="Arial"/>
          <w:b/>
          <w:bCs/>
          <w:i/>
          <w:iCs/>
          <w:sz w:val="20"/>
          <w:szCs w:val="20"/>
          <w:lang w:val="es-ES_tradnl"/>
        </w:rPr>
        <w:t>20</w:t>
      </w:r>
      <w:r w:rsidRPr="008478A8">
        <w:rPr>
          <w:rFonts w:ascii="Arial" w:hAnsi="Arial" w:cs="Arial"/>
          <w:b/>
          <w:bCs/>
          <w:i/>
          <w:iCs/>
          <w:sz w:val="20"/>
          <w:szCs w:val="20"/>
          <w:lang w:val="es-ES_tradnl"/>
        </w:rPr>
        <w:t>/0</w:t>
      </w:r>
      <w:r>
        <w:rPr>
          <w:rFonts w:ascii="Arial" w:hAnsi="Arial" w:cs="Arial"/>
          <w:b/>
          <w:bCs/>
          <w:i/>
          <w:iCs/>
          <w:sz w:val="20"/>
          <w:szCs w:val="20"/>
          <w:lang w:val="es-ES_tradnl"/>
        </w:rPr>
        <w:t>4</w:t>
      </w:r>
      <w:r w:rsidRPr="008478A8">
        <w:rPr>
          <w:rFonts w:ascii="Arial" w:hAnsi="Arial" w:cs="Arial"/>
          <w:b/>
          <w:bCs/>
          <w:i/>
          <w:iCs/>
          <w:sz w:val="20"/>
          <w:szCs w:val="20"/>
          <w:lang w:val="es-ES_tradnl"/>
        </w:rPr>
        <w:t>/2023)</w:t>
      </w:r>
      <w:r>
        <w:rPr>
          <w:rFonts w:ascii="Arial" w:hAnsi="Arial" w:cs="Arial"/>
          <w:sz w:val="20"/>
          <w:szCs w:val="20"/>
          <w:lang w:val="es-ES_tradnl"/>
        </w:rPr>
        <w:t>. Ídem anterior.</w:t>
      </w:r>
    </w:p>
    <w:p w14:paraId="0E19F8D6" w14:textId="0DC457A7" w:rsidR="00CE5A75" w:rsidRDefault="008478A8" w:rsidP="00CE5A75">
      <w:pPr>
        <w:pStyle w:val="Prrafodelista"/>
        <w:numPr>
          <w:ilvl w:val="0"/>
          <w:numId w:val="2"/>
        </w:numPr>
        <w:snapToGrid w:val="0"/>
        <w:spacing w:after="240" w:line="360" w:lineRule="auto"/>
        <w:ind w:hanging="357"/>
        <w:contextualSpacing w:val="0"/>
        <w:jc w:val="both"/>
        <w:rPr>
          <w:rFonts w:ascii="Arial" w:hAnsi="Arial" w:cs="Arial"/>
          <w:sz w:val="20"/>
          <w:szCs w:val="20"/>
          <w:lang w:val="es-ES_tradnl"/>
        </w:rPr>
      </w:pPr>
      <w:r>
        <w:rPr>
          <w:rFonts w:ascii="Arial" w:hAnsi="Arial" w:cs="Arial"/>
          <w:b/>
          <w:bCs/>
          <w:sz w:val="20"/>
          <w:szCs w:val="20"/>
          <w:lang w:val="es-ES_tradnl"/>
        </w:rPr>
        <w:t xml:space="preserve">Impuesto sobre los Ingresos Brutos. Alícuotas Diferenciales (y algo más). </w:t>
      </w:r>
      <w:r>
        <w:rPr>
          <w:rFonts w:ascii="Arial" w:hAnsi="Arial" w:cs="Arial"/>
          <w:sz w:val="20"/>
          <w:szCs w:val="20"/>
          <w:lang w:val="es-ES_tradnl"/>
        </w:rPr>
        <w:t>La actora plantea la inconstitucionalidad de la norma provincial por la cual se cobra alícuota</w:t>
      </w:r>
      <w:r w:rsidR="0075058B">
        <w:rPr>
          <w:rFonts w:ascii="Arial" w:hAnsi="Arial" w:cs="Arial"/>
          <w:sz w:val="20"/>
          <w:szCs w:val="20"/>
          <w:lang w:val="es-ES_tradnl"/>
        </w:rPr>
        <w:t>s</w:t>
      </w:r>
      <w:r>
        <w:rPr>
          <w:rFonts w:ascii="Arial" w:hAnsi="Arial" w:cs="Arial"/>
          <w:sz w:val="20"/>
          <w:szCs w:val="20"/>
          <w:lang w:val="es-ES_tradnl"/>
        </w:rPr>
        <w:t xml:space="preserve"> diferencial</w:t>
      </w:r>
      <w:r w:rsidR="0075058B">
        <w:rPr>
          <w:rFonts w:ascii="Arial" w:hAnsi="Arial" w:cs="Arial"/>
          <w:sz w:val="20"/>
          <w:szCs w:val="20"/>
          <w:lang w:val="es-ES_tradnl"/>
        </w:rPr>
        <w:t>es</w:t>
      </w:r>
      <w:r>
        <w:rPr>
          <w:rFonts w:ascii="Arial" w:hAnsi="Arial" w:cs="Arial"/>
          <w:sz w:val="20"/>
          <w:szCs w:val="20"/>
          <w:lang w:val="es-ES_tradnl"/>
        </w:rPr>
        <w:t xml:space="preserve"> a determinadas actividades </w:t>
      </w:r>
      <w:r w:rsidR="0075058B">
        <w:rPr>
          <w:rFonts w:ascii="Arial" w:hAnsi="Arial" w:cs="Arial"/>
          <w:sz w:val="20"/>
          <w:szCs w:val="20"/>
          <w:lang w:val="es-ES_tradnl"/>
        </w:rPr>
        <w:t xml:space="preserve">de telecomunicaciones (o vinculadas) </w:t>
      </w:r>
      <w:r>
        <w:rPr>
          <w:rFonts w:ascii="Arial" w:hAnsi="Arial" w:cs="Arial"/>
          <w:sz w:val="20"/>
          <w:szCs w:val="20"/>
          <w:lang w:val="es-ES_tradnl"/>
        </w:rPr>
        <w:t xml:space="preserve">en relación con </w:t>
      </w:r>
      <w:r w:rsidR="0075058B">
        <w:rPr>
          <w:rFonts w:ascii="Arial" w:hAnsi="Arial" w:cs="Arial"/>
          <w:sz w:val="20"/>
          <w:szCs w:val="20"/>
          <w:lang w:val="es-ES_tradnl"/>
        </w:rPr>
        <w:t xml:space="preserve">aquellos </w:t>
      </w:r>
      <w:r>
        <w:rPr>
          <w:rFonts w:ascii="Arial" w:hAnsi="Arial" w:cs="Arial"/>
          <w:sz w:val="20"/>
          <w:szCs w:val="20"/>
          <w:lang w:val="es-ES_tradnl"/>
        </w:rPr>
        <w:t xml:space="preserve">contribuyentes con jurisdicción sede en la provincia (4%/5% </w:t>
      </w:r>
      <w:r w:rsidRPr="0075058B">
        <w:rPr>
          <w:rFonts w:ascii="Arial" w:hAnsi="Arial" w:cs="Arial"/>
          <w:i/>
          <w:iCs/>
          <w:sz w:val="20"/>
          <w:szCs w:val="20"/>
          <w:lang w:val="es-ES_tradnl"/>
        </w:rPr>
        <w:t>vs</w:t>
      </w:r>
      <w:r>
        <w:rPr>
          <w:rFonts w:ascii="Arial" w:hAnsi="Arial" w:cs="Arial"/>
          <w:sz w:val="20"/>
          <w:szCs w:val="20"/>
          <w:lang w:val="es-ES_tradnl"/>
        </w:rPr>
        <w:t xml:space="preserve"> 3%/3,5%). </w:t>
      </w:r>
      <w:r w:rsidR="006225A1">
        <w:rPr>
          <w:rFonts w:ascii="Arial" w:hAnsi="Arial" w:cs="Arial"/>
          <w:sz w:val="20"/>
          <w:szCs w:val="20"/>
          <w:lang w:val="es-ES_tradnl"/>
        </w:rPr>
        <w:t>Además</w:t>
      </w:r>
      <w:r>
        <w:rPr>
          <w:rFonts w:ascii="Arial" w:hAnsi="Arial" w:cs="Arial"/>
          <w:sz w:val="20"/>
          <w:szCs w:val="20"/>
          <w:lang w:val="es-ES_tradnl"/>
        </w:rPr>
        <w:t xml:space="preserve">, plantea que la alícuota del 8% con la cual se grava a los servicios de telefonía celular es discriminatoria respecto a otras actividades de servicios de comunicación e implica un trato fiscal prejudicial por interferir en la prestación del servicio por parte de la compañía. La CSJN considera que el segundo argumento es de carácter local (no federal), por lo tanto, todo queda excluido de la </w:t>
      </w:r>
      <w:r w:rsidR="00CE5A75">
        <w:rPr>
          <w:rFonts w:ascii="Arial" w:hAnsi="Arial" w:cs="Arial"/>
          <w:sz w:val="20"/>
          <w:szCs w:val="20"/>
          <w:lang w:val="es-ES_tradnl"/>
        </w:rPr>
        <w:t xml:space="preserve">competencia </w:t>
      </w:r>
      <w:r>
        <w:rPr>
          <w:rFonts w:ascii="Arial" w:hAnsi="Arial" w:cs="Arial"/>
          <w:sz w:val="20"/>
          <w:szCs w:val="20"/>
          <w:lang w:val="es-ES_tradnl"/>
        </w:rPr>
        <w:t>originaria</w:t>
      </w:r>
      <w:r w:rsidR="00CE5A75">
        <w:rPr>
          <w:rFonts w:ascii="Arial" w:hAnsi="Arial" w:cs="Arial"/>
          <w:sz w:val="20"/>
          <w:szCs w:val="20"/>
          <w:lang w:val="es-ES_tradnl"/>
        </w:rPr>
        <w:t>. En consecuencia</w:t>
      </w:r>
      <w:r w:rsidR="0075058B">
        <w:rPr>
          <w:rFonts w:ascii="Arial" w:hAnsi="Arial" w:cs="Arial"/>
          <w:sz w:val="20"/>
          <w:szCs w:val="20"/>
          <w:lang w:val="es-ES_tradnl"/>
        </w:rPr>
        <w:t>,</w:t>
      </w:r>
      <w:r w:rsidR="00CE5A75">
        <w:rPr>
          <w:rFonts w:ascii="Arial" w:hAnsi="Arial" w:cs="Arial"/>
          <w:sz w:val="20"/>
          <w:szCs w:val="20"/>
          <w:lang w:val="es-ES_tradnl"/>
        </w:rPr>
        <w:t xml:space="preserve"> se resuelve declarar que la causa es ajena a la competencia originaria. </w:t>
      </w:r>
      <w:r w:rsidR="006225A1" w:rsidRPr="006225A1">
        <w:rPr>
          <w:rFonts w:ascii="Arial" w:hAnsi="Arial" w:cs="Arial"/>
          <w:b/>
          <w:bCs/>
          <w:i/>
          <w:iCs/>
          <w:sz w:val="20"/>
          <w:szCs w:val="20"/>
          <w:lang w:val="es-ES_tradnl"/>
        </w:rPr>
        <w:t>“</w:t>
      </w:r>
      <w:r w:rsidR="00CE5A75" w:rsidRPr="006225A1">
        <w:rPr>
          <w:rFonts w:ascii="Arial" w:hAnsi="Arial" w:cs="Arial"/>
          <w:b/>
          <w:bCs/>
          <w:i/>
          <w:iCs/>
          <w:sz w:val="20"/>
          <w:szCs w:val="20"/>
          <w:lang w:val="es-ES_tradnl"/>
        </w:rPr>
        <w:t>Telecom Personal S.A. c/Provincia de Chubut s/acción declarativa d</w:t>
      </w:r>
      <w:r w:rsidR="00C65561" w:rsidRPr="006225A1">
        <w:rPr>
          <w:rFonts w:ascii="Arial" w:hAnsi="Arial" w:cs="Arial"/>
          <w:b/>
          <w:bCs/>
          <w:i/>
          <w:iCs/>
          <w:sz w:val="20"/>
          <w:szCs w:val="20"/>
          <w:lang w:val="es-ES_tradnl"/>
        </w:rPr>
        <w:t xml:space="preserve">e </w:t>
      </w:r>
      <w:r w:rsidR="00CE5A75" w:rsidRPr="006225A1">
        <w:rPr>
          <w:rFonts w:ascii="Arial" w:hAnsi="Arial" w:cs="Arial"/>
          <w:b/>
          <w:bCs/>
          <w:i/>
          <w:iCs/>
          <w:sz w:val="20"/>
          <w:szCs w:val="20"/>
          <w:lang w:val="es-ES_tradnl"/>
        </w:rPr>
        <w:t>certeza</w:t>
      </w:r>
      <w:r w:rsidR="006225A1" w:rsidRPr="006225A1">
        <w:rPr>
          <w:rFonts w:ascii="Arial" w:hAnsi="Arial" w:cs="Arial"/>
          <w:b/>
          <w:bCs/>
          <w:i/>
          <w:iCs/>
          <w:sz w:val="20"/>
          <w:szCs w:val="20"/>
          <w:lang w:val="es-ES_tradnl"/>
        </w:rPr>
        <w:t xml:space="preserve"> (20/04/2023)”</w:t>
      </w:r>
      <w:r w:rsidR="00CE5A75">
        <w:rPr>
          <w:rFonts w:ascii="Arial" w:hAnsi="Arial" w:cs="Arial"/>
          <w:sz w:val="20"/>
          <w:szCs w:val="20"/>
          <w:lang w:val="es-ES_tradnl"/>
        </w:rPr>
        <w:t>.</w:t>
      </w:r>
    </w:p>
    <w:p w14:paraId="75022FE8" w14:textId="12EC9F92" w:rsidR="00CE5A75" w:rsidRDefault="00CE5A75" w:rsidP="00C65561">
      <w:pPr>
        <w:pStyle w:val="Prrafodelista"/>
        <w:numPr>
          <w:ilvl w:val="0"/>
          <w:numId w:val="2"/>
        </w:numPr>
        <w:snapToGrid w:val="0"/>
        <w:spacing w:after="240" w:line="360" w:lineRule="auto"/>
        <w:contextualSpacing w:val="0"/>
        <w:jc w:val="both"/>
        <w:rPr>
          <w:rFonts w:ascii="Arial" w:hAnsi="Arial" w:cs="Arial"/>
          <w:sz w:val="20"/>
          <w:szCs w:val="20"/>
          <w:lang w:val="es-ES_tradnl"/>
        </w:rPr>
      </w:pPr>
      <w:r w:rsidRPr="00C65561">
        <w:rPr>
          <w:rFonts w:ascii="Arial" w:hAnsi="Arial" w:cs="Arial"/>
          <w:b/>
          <w:bCs/>
          <w:sz w:val="20"/>
          <w:szCs w:val="20"/>
          <w:lang w:val="es-ES_tradnl"/>
        </w:rPr>
        <w:t xml:space="preserve">Impuesto sobre los Ingresos Brutos. </w:t>
      </w:r>
      <w:r w:rsidR="00C65561" w:rsidRPr="00C65561">
        <w:rPr>
          <w:rFonts w:ascii="Arial" w:hAnsi="Arial" w:cs="Arial"/>
          <w:b/>
          <w:bCs/>
          <w:sz w:val="20"/>
          <w:szCs w:val="20"/>
          <w:lang w:val="es-ES_tradnl"/>
        </w:rPr>
        <w:t>S</w:t>
      </w:r>
      <w:r w:rsidRPr="00C65561">
        <w:rPr>
          <w:rFonts w:ascii="Arial" w:hAnsi="Arial" w:cs="Arial"/>
          <w:b/>
          <w:bCs/>
          <w:sz w:val="20"/>
          <w:szCs w:val="20"/>
          <w:lang w:val="es-ES_tradnl"/>
        </w:rPr>
        <w:t xml:space="preserve">ervicios prestados en el exterior por sujetos no residentes. Agentes de </w:t>
      </w:r>
      <w:r w:rsidR="00C65561" w:rsidRPr="00C65561">
        <w:rPr>
          <w:rFonts w:ascii="Arial" w:hAnsi="Arial" w:cs="Arial"/>
          <w:b/>
          <w:bCs/>
          <w:sz w:val="20"/>
          <w:szCs w:val="20"/>
          <w:lang w:val="es-ES_tradnl"/>
        </w:rPr>
        <w:t>p</w:t>
      </w:r>
      <w:r w:rsidRPr="00C65561">
        <w:rPr>
          <w:rFonts w:ascii="Arial" w:hAnsi="Arial" w:cs="Arial"/>
          <w:b/>
          <w:bCs/>
          <w:sz w:val="20"/>
          <w:szCs w:val="20"/>
          <w:lang w:val="es-ES_tradnl"/>
        </w:rPr>
        <w:t xml:space="preserve">ercepción. </w:t>
      </w:r>
      <w:r w:rsidR="00C65561" w:rsidRPr="00C65561">
        <w:rPr>
          <w:rFonts w:ascii="Arial" w:hAnsi="Arial" w:cs="Arial"/>
          <w:sz w:val="20"/>
          <w:szCs w:val="20"/>
          <w:lang w:val="es-ES_tradnl"/>
        </w:rPr>
        <w:t xml:space="preserve">Las entidades financieras (en una acción colectiva) plantean que este tipo de norma conculca la CN puesto que se erige en una aduana interior, en un derecho de importación, afecta el principio de razonabilidad e interfiere en las facultades del BCRA. La CSJN reitera el antecedente </w:t>
      </w:r>
      <w:r w:rsidR="00C65561" w:rsidRPr="006225A1">
        <w:rPr>
          <w:rFonts w:ascii="Arial" w:hAnsi="Arial" w:cs="Arial"/>
          <w:b/>
          <w:bCs/>
          <w:i/>
          <w:iCs/>
          <w:sz w:val="20"/>
          <w:szCs w:val="20"/>
          <w:lang w:val="es-ES_tradnl"/>
        </w:rPr>
        <w:t xml:space="preserve">Banco </w:t>
      </w:r>
      <w:r w:rsidR="0075058B" w:rsidRPr="006225A1">
        <w:rPr>
          <w:rFonts w:ascii="Arial" w:hAnsi="Arial" w:cs="Arial"/>
          <w:b/>
          <w:bCs/>
          <w:i/>
          <w:iCs/>
          <w:sz w:val="20"/>
          <w:szCs w:val="20"/>
          <w:lang w:val="es-ES_tradnl"/>
        </w:rPr>
        <w:t>Itaú</w:t>
      </w:r>
      <w:r w:rsidR="00C65561" w:rsidRPr="006225A1">
        <w:rPr>
          <w:rFonts w:ascii="Arial" w:hAnsi="Arial" w:cs="Arial"/>
          <w:b/>
          <w:bCs/>
          <w:i/>
          <w:iCs/>
          <w:sz w:val="20"/>
          <w:szCs w:val="20"/>
          <w:lang w:val="es-ES_tradnl"/>
        </w:rPr>
        <w:t xml:space="preserve"> Argentina S.A. y otros c/Provincia de Salta s/ acción declarativa de certeza e inconstitucionalidad (25/10/2022)</w:t>
      </w:r>
      <w:r w:rsidR="00C65561" w:rsidRPr="00C65561">
        <w:rPr>
          <w:rFonts w:ascii="Arial" w:hAnsi="Arial" w:cs="Arial"/>
          <w:sz w:val="20"/>
          <w:szCs w:val="20"/>
          <w:lang w:val="es-ES_tradnl"/>
        </w:rPr>
        <w:t xml:space="preserve">, por lo tanto rechaza su competencia originaria. </w:t>
      </w:r>
      <w:r w:rsidR="006225A1">
        <w:rPr>
          <w:rFonts w:ascii="Arial" w:hAnsi="Arial" w:cs="Arial"/>
          <w:sz w:val="20"/>
          <w:szCs w:val="20"/>
          <w:lang w:val="es-ES_tradnl"/>
        </w:rPr>
        <w:t>“</w:t>
      </w:r>
      <w:r w:rsidR="00C65561" w:rsidRPr="006225A1">
        <w:rPr>
          <w:rFonts w:ascii="Arial" w:hAnsi="Arial" w:cs="Arial"/>
          <w:b/>
          <w:bCs/>
          <w:i/>
          <w:iCs/>
          <w:sz w:val="20"/>
          <w:szCs w:val="20"/>
          <w:lang w:val="es-ES_tradnl"/>
        </w:rPr>
        <w:t xml:space="preserve">Industrial and </w:t>
      </w:r>
      <w:proofErr w:type="spellStart"/>
      <w:r w:rsidR="00C65561" w:rsidRPr="006225A1">
        <w:rPr>
          <w:rFonts w:ascii="Arial" w:hAnsi="Arial" w:cs="Arial"/>
          <w:b/>
          <w:bCs/>
          <w:i/>
          <w:iCs/>
          <w:sz w:val="20"/>
          <w:szCs w:val="20"/>
          <w:lang w:val="es-ES_tradnl"/>
        </w:rPr>
        <w:t>Commercial</w:t>
      </w:r>
      <w:proofErr w:type="spellEnd"/>
      <w:r w:rsidR="00C65561" w:rsidRPr="006225A1">
        <w:rPr>
          <w:rFonts w:ascii="Arial" w:hAnsi="Arial" w:cs="Arial"/>
          <w:b/>
          <w:bCs/>
          <w:i/>
          <w:iCs/>
          <w:sz w:val="20"/>
          <w:szCs w:val="20"/>
          <w:lang w:val="es-ES_tradnl"/>
        </w:rPr>
        <w:t xml:space="preserve"> </w:t>
      </w:r>
      <w:r w:rsidR="00C65561" w:rsidRPr="006225A1">
        <w:rPr>
          <w:rFonts w:ascii="Arial" w:hAnsi="Arial" w:cs="Arial"/>
          <w:b/>
          <w:bCs/>
          <w:i/>
          <w:iCs/>
          <w:sz w:val="20"/>
          <w:szCs w:val="20"/>
          <w:lang w:val="es-ES_tradnl"/>
        </w:rPr>
        <w:lastRenderedPageBreak/>
        <w:t xml:space="preserve">Bank of China (Argentina) S.A. y otro c/ </w:t>
      </w:r>
      <w:r w:rsidR="006225A1">
        <w:rPr>
          <w:rFonts w:ascii="Arial" w:hAnsi="Arial" w:cs="Arial"/>
          <w:b/>
          <w:bCs/>
          <w:i/>
          <w:iCs/>
          <w:sz w:val="20"/>
          <w:szCs w:val="20"/>
          <w:lang w:val="es-ES_tradnl"/>
        </w:rPr>
        <w:t>Provincia de la Pampa</w:t>
      </w:r>
      <w:r w:rsidR="00C65561" w:rsidRPr="006225A1">
        <w:rPr>
          <w:rFonts w:ascii="Arial" w:hAnsi="Arial" w:cs="Arial"/>
          <w:b/>
          <w:bCs/>
          <w:i/>
          <w:iCs/>
          <w:sz w:val="20"/>
          <w:szCs w:val="20"/>
          <w:lang w:val="es-ES_tradnl"/>
        </w:rPr>
        <w:t xml:space="preserve"> s/ acción declarativa de certeza e inconstitucionalidad (20/04/2023)</w:t>
      </w:r>
      <w:r w:rsidR="006225A1" w:rsidRPr="006225A1">
        <w:rPr>
          <w:rFonts w:ascii="Arial" w:hAnsi="Arial" w:cs="Arial"/>
          <w:b/>
          <w:bCs/>
          <w:i/>
          <w:iCs/>
          <w:sz w:val="20"/>
          <w:szCs w:val="20"/>
          <w:lang w:val="es-ES_tradnl"/>
        </w:rPr>
        <w:t>”</w:t>
      </w:r>
      <w:r w:rsidR="006225A1">
        <w:rPr>
          <w:rFonts w:ascii="Arial" w:hAnsi="Arial" w:cs="Arial"/>
          <w:sz w:val="20"/>
          <w:szCs w:val="20"/>
          <w:lang w:val="es-ES_tradnl"/>
        </w:rPr>
        <w:t xml:space="preserve">. </w:t>
      </w:r>
    </w:p>
    <w:p w14:paraId="38938133" w14:textId="462EE543" w:rsidR="006225A1" w:rsidRDefault="006225A1" w:rsidP="006225A1">
      <w:pPr>
        <w:pStyle w:val="Prrafodelista"/>
        <w:numPr>
          <w:ilvl w:val="1"/>
          <w:numId w:val="2"/>
        </w:numPr>
        <w:snapToGrid w:val="0"/>
        <w:spacing w:after="240" w:line="360" w:lineRule="auto"/>
        <w:contextualSpacing w:val="0"/>
        <w:jc w:val="both"/>
        <w:rPr>
          <w:rFonts w:ascii="Arial" w:hAnsi="Arial" w:cs="Arial"/>
          <w:sz w:val="20"/>
          <w:szCs w:val="20"/>
          <w:lang w:val="es-ES_tradnl"/>
        </w:rPr>
      </w:pPr>
      <w:r w:rsidRPr="006225A1">
        <w:rPr>
          <w:rFonts w:ascii="Arial" w:hAnsi="Arial" w:cs="Arial"/>
          <w:b/>
          <w:bCs/>
          <w:i/>
          <w:iCs/>
          <w:sz w:val="20"/>
          <w:szCs w:val="20"/>
          <w:lang w:val="es-ES_tradnl"/>
        </w:rPr>
        <w:t>“Banco Itaú Argentina S.A. y otro c/ Provincia de Buenos Aires s/ acción declarativa de certeza e inconstitucionalidad (20/04/2023)”</w:t>
      </w:r>
      <w:r>
        <w:rPr>
          <w:rFonts w:ascii="Arial" w:hAnsi="Arial" w:cs="Arial"/>
          <w:sz w:val="20"/>
          <w:szCs w:val="20"/>
          <w:lang w:val="es-ES_tradnl"/>
        </w:rPr>
        <w:t>. Ídem anterior.</w:t>
      </w:r>
    </w:p>
    <w:p w14:paraId="40A0B7D9" w14:textId="30B87244" w:rsidR="006225A1" w:rsidRDefault="0075058B" w:rsidP="006225A1">
      <w:pPr>
        <w:pStyle w:val="Prrafodelista"/>
        <w:numPr>
          <w:ilvl w:val="0"/>
          <w:numId w:val="2"/>
        </w:numPr>
        <w:snapToGrid w:val="0"/>
        <w:spacing w:after="240" w:line="360" w:lineRule="auto"/>
        <w:contextualSpacing w:val="0"/>
        <w:jc w:val="both"/>
        <w:rPr>
          <w:rFonts w:ascii="Arial" w:hAnsi="Arial" w:cs="Arial"/>
          <w:sz w:val="20"/>
          <w:szCs w:val="20"/>
          <w:lang w:val="es-ES_tradnl"/>
        </w:rPr>
      </w:pPr>
      <w:r>
        <w:rPr>
          <w:rFonts w:ascii="Arial" w:hAnsi="Arial" w:cs="Arial"/>
          <w:b/>
          <w:bCs/>
          <w:sz w:val="20"/>
          <w:szCs w:val="20"/>
          <w:lang w:val="es-ES_tradnl"/>
        </w:rPr>
        <w:t xml:space="preserve">Impuesto sobre los Ingresos Brutos. Alícuotas Diferenciales (clásico). </w:t>
      </w:r>
      <w:r>
        <w:rPr>
          <w:rFonts w:ascii="Arial" w:hAnsi="Arial" w:cs="Arial"/>
          <w:sz w:val="20"/>
          <w:szCs w:val="20"/>
          <w:lang w:val="es-ES_tradnl"/>
        </w:rPr>
        <w:t xml:space="preserve">La actora acciona frente a la pretensión de la demandada (plasmada en un acto administrativo), de cobrar una alícuota diferencia de tributo de referencia por el hecho de no tener planta industrial en la jurisdicción provincial (2,4% </w:t>
      </w:r>
      <w:r w:rsidRPr="0075058B">
        <w:rPr>
          <w:rFonts w:ascii="Arial" w:hAnsi="Arial" w:cs="Arial"/>
          <w:i/>
          <w:iCs/>
          <w:sz w:val="20"/>
          <w:szCs w:val="20"/>
          <w:lang w:val="es-ES_tradnl"/>
        </w:rPr>
        <w:t>vs</w:t>
      </w:r>
      <w:r>
        <w:rPr>
          <w:rFonts w:ascii="Arial" w:hAnsi="Arial" w:cs="Arial"/>
          <w:sz w:val="20"/>
          <w:szCs w:val="20"/>
          <w:lang w:val="es-ES_tradnl"/>
        </w:rPr>
        <w:t xml:space="preserve"> 0,5%). </w:t>
      </w:r>
      <w:r w:rsidR="00F920AE">
        <w:rPr>
          <w:rFonts w:ascii="Arial" w:hAnsi="Arial" w:cs="Arial"/>
          <w:sz w:val="20"/>
          <w:szCs w:val="20"/>
          <w:lang w:val="es-ES_tradnl"/>
        </w:rPr>
        <w:t>La CSJN reitera su jurisprudencia (</w:t>
      </w:r>
      <w:r w:rsidR="00F920AE" w:rsidRPr="00F920AE">
        <w:rPr>
          <w:rFonts w:ascii="Arial" w:hAnsi="Arial" w:cs="Arial"/>
          <w:b/>
          <w:bCs/>
          <w:i/>
          <w:iCs/>
          <w:sz w:val="20"/>
          <w:szCs w:val="20"/>
          <w:lang w:val="es-ES_tradnl"/>
        </w:rPr>
        <w:t>Harriet y Donnelly S.A.</w:t>
      </w:r>
      <w:r w:rsidR="00F920AE">
        <w:rPr>
          <w:rFonts w:ascii="Arial" w:hAnsi="Arial" w:cs="Arial"/>
          <w:sz w:val="20"/>
          <w:szCs w:val="20"/>
          <w:lang w:val="es-ES_tradnl"/>
        </w:rPr>
        <w:t xml:space="preserve">) haciendo lugar a la demanda y declarando inconstitucional a la norma provincial por medio de la cual se estable tal requisito. </w:t>
      </w:r>
      <w:r w:rsidR="00F920AE" w:rsidRPr="00F920AE">
        <w:rPr>
          <w:rFonts w:ascii="Arial" w:hAnsi="Arial" w:cs="Arial"/>
          <w:b/>
          <w:bCs/>
          <w:i/>
          <w:iCs/>
          <w:sz w:val="20"/>
          <w:szCs w:val="20"/>
          <w:lang w:val="es-ES_tradnl"/>
        </w:rPr>
        <w:t>“</w:t>
      </w:r>
      <w:proofErr w:type="spellStart"/>
      <w:r w:rsidR="00F920AE" w:rsidRPr="00F920AE">
        <w:rPr>
          <w:rFonts w:ascii="Arial" w:hAnsi="Arial" w:cs="Arial"/>
          <w:b/>
          <w:bCs/>
          <w:i/>
          <w:iCs/>
          <w:sz w:val="20"/>
          <w:szCs w:val="20"/>
          <w:lang w:val="es-ES_tradnl"/>
        </w:rPr>
        <w:t>Agrofina</w:t>
      </w:r>
      <w:proofErr w:type="spellEnd"/>
      <w:r w:rsidR="00F920AE" w:rsidRPr="00F920AE">
        <w:rPr>
          <w:rFonts w:ascii="Arial" w:hAnsi="Arial" w:cs="Arial"/>
          <w:b/>
          <w:bCs/>
          <w:i/>
          <w:iCs/>
          <w:sz w:val="20"/>
          <w:szCs w:val="20"/>
          <w:lang w:val="es-ES_tradnl"/>
        </w:rPr>
        <w:t xml:space="preserve"> S.A. c/ Provincia de Córdoba s/ acción declarativa de certeza (20/04/2023)”</w:t>
      </w:r>
      <w:r w:rsidR="00F920AE">
        <w:rPr>
          <w:rFonts w:ascii="Arial" w:hAnsi="Arial" w:cs="Arial"/>
          <w:sz w:val="20"/>
          <w:szCs w:val="20"/>
          <w:lang w:val="es-ES_tradnl"/>
        </w:rPr>
        <w:t>.</w:t>
      </w:r>
    </w:p>
    <w:p w14:paraId="281A8912" w14:textId="5F51AF70" w:rsidR="00F920AE" w:rsidRPr="00F920AE" w:rsidRDefault="00F920AE" w:rsidP="00F920AE">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 xml:space="preserve">PROCURACIÓN GENERAL </w:t>
      </w:r>
      <w:r w:rsidRPr="00F920AE">
        <w:rPr>
          <w:rFonts w:ascii="Arial" w:hAnsi="Arial" w:cs="Arial"/>
          <w:b/>
          <w:bCs/>
          <w:sz w:val="20"/>
          <w:szCs w:val="20"/>
          <w:lang w:val="es-ES_tradnl"/>
        </w:rPr>
        <w:t>DE LA NACION</w:t>
      </w:r>
    </w:p>
    <w:p w14:paraId="592B87D7" w14:textId="44024A2B" w:rsidR="00F920AE" w:rsidRDefault="00F920AE" w:rsidP="00F920AE">
      <w:pPr>
        <w:pStyle w:val="Prrafodelista"/>
        <w:numPr>
          <w:ilvl w:val="0"/>
          <w:numId w:val="3"/>
        </w:numPr>
        <w:snapToGrid w:val="0"/>
        <w:spacing w:after="240" w:line="360" w:lineRule="auto"/>
        <w:contextualSpacing w:val="0"/>
        <w:jc w:val="both"/>
        <w:rPr>
          <w:rFonts w:ascii="Arial" w:hAnsi="Arial" w:cs="Arial"/>
          <w:sz w:val="20"/>
          <w:szCs w:val="20"/>
          <w:lang w:val="es-ES_tradnl"/>
        </w:rPr>
      </w:pPr>
      <w:r w:rsidRPr="00F920AE">
        <w:rPr>
          <w:rFonts w:ascii="Arial" w:hAnsi="Arial" w:cs="Arial"/>
          <w:b/>
          <w:bCs/>
          <w:sz w:val="20"/>
          <w:szCs w:val="20"/>
          <w:lang w:val="es-ES_tradnl"/>
        </w:rPr>
        <w:t>ECOTASA</w:t>
      </w:r>
      <w:r w:rsidRPr="00F920AE">
        <w:rPr>
          <w:rFonts w:ascii="Arial" w:hAnsi="Arial" w:cs="Arial"/>
          <w:sz w:val="20"/>
          <w:szCs w:val="20"/>
          <w:lang w:val="es-ES_tradnl"/>
        </w:rPr>
        <w:t xml:space="preserve">. Se ratifica el carácter de tasa del tributo cuestionado y la falta de probanza, por parte del Municipio de San Carlos de Bariloche, de la existencia de una concreta, efectiva e individualizada prestación hacia el contribuyente (el turista). </w:t>
      </w:r>
      <w:r>
        <w:rPr>
          <w:rFonts w:ascii="Arial" w:hAnsi="Arial" w:cs="Arial"/>
          <w:sz w:val="20"/>
          <w:szCs w:val="20"/>
          <w:lang w:val="es-ES_tradnl"/>
        </w:rPr>
        <w:t xml:space="preserve">Se desestima la mención de tributo medioambiental que trasciende la demandada. </w:t>
      </w:r>
      <w:r w:rsidRPr="00F920AE">
        <w:rPr>
          <w:rFonts w:ascii="Arial" w:hAnsi="Arial" w:cs="Arial"/>
          <w:sz w:val="20"/>
          <w:szCs w:val="20"/>
          <w:lang w:val="es-ES_tradnl"/>
        </w:rPr>
        <w:t xml:space="preserve">Se vuelve a </w:t>
      </w:r>
      <w:r>
        <w:rPr>
          <w:rFonts w:ascii="Arial" w:hAnsi="Arial" w:cs="Arial"/>
          <w:sz w:val="20"/>
          <w:szCs w:val="20"/>
          <w:lang w:val="es-ES_tradnl"/>
        </w:rPr>
        <w:t xml:space="preserve">referenciar la jurisprudencia del emblemático </w:t>
      </w:r>
      <w:r w:rsidRPr="00F920AE">
        <w:rPr>
          <w:rFonts w:ascii="Arial" w:hAnsi="Arial" w:cs="Arial"/>
          <w:sz w:val="20"/>
          <w:szCs w:val="20"/>
          <w:lang w:val="es-ES_tradnl"/>
        </w:rPr>
        <w:t>fallo</w:t>
      </w:r>
      <w:r>
        <w:rPr>
          <w:rFonts w:ascii="Arial" w:hAnsi="Arial" w:cs="Arial"/>
          <w:sz w:val="20"/>
          <w:szCs w:val="20"/>
          <w:lang w:val="es-ES_tradnl"/>
        </w:rPr>
        <w:t xml:space="preserve"> de la CSJN en los autos </w:t>
      </w:r>
      <w:r w:rsidRPr="00F920AE">
        <w:rPr>
          <w:rFonts w:ascii="Arial" w:hAnsi="Arial" w:cs="Arial"/>
          <w:b/>
          <w:bCs/>
          <w:i/>
          <w:iCs/>
          <w:sz w:val="20"/>
          <w:szCs w:val="20"/>
          <w:lang w:val="es-ES_tradnl"/>
        </w:rPr>
        <w:t>Compañía Química c/Municipalidad de San Miguel de Tucumán</w:t>
      </w:r>
      <w:r w:rsidRPr="00F920AE">
        <w:rPr>
          <w:rFonts w:ascii="Arial" w:hAnsi="Arial" w:cs="Arial"/>
          <w:i/>
          <w:iCs/>
          <w:sz w:val="20"/>
          <w:szCs w:val="20"/>
          <w:lang w:val="es-ES_tradnl"/>
        </w:rPr>
        <w:t xml:space="preserve"> </w:t>
      </w:r>
      <w:r w:rsidRPr="00F920AE">
        <w:rPr>
          <w:rFonts w:ascii="Arial" w:hAnsi="Arial" w:cs="Arial"/>
          <w:sz w:val="20"/>
          <w:szCs w:val="20"/>
          <w:lang w:val="es-ES_tradnl"/>
        </w:rPr>
        <w:t xml:space="preserve">(voto del Dr. Belluscio). </w:t>
      </w:r>
      <w:r w:rsidRPr="00F920AE">
        <w:rPr>
          <w:rFonts w:ascii="Arial" w:hAnsi="Arial" w:cs="Arial"/>
          <w:b/>
          <w:bCs/>
          <w:i/>
          <w:iCs/>
          <w:sz w:val="20"/>
          <w:szCs w:val="20"/>
          <w:lang w:val="es-ES_tradnl"/>
        </w:rPr>
        <w:t>“</w:t>
      </w:r>
      <w:proofErr w:type="spellStart"/>
      <w:r w:rsidRPr="00F920AE">
        <w:rPr>
          <w:rFonts w:ascii="Arial" w:hAnsi="Arial" w:cs="Arial"/>
          <w:b/>
          <w:bCs/>
          <w:i/>
          <w:iCs/>
          <w:sz w:val="20"/>
          <w:szCs w:val="20"/>
          <w:lang w:val="es-ES_tradnl"/>
        </w:rPr>
        <w:t>Cantaluppi</w:t>
      </w:r>
      <w:proofErr w:type="spellEnd"/>
      <w:r w:rsidRPr="00F920AE">
        <w:rPr>
          <w:rFonts w:ascii="Arial" w:hAnsi="Arial" w:cs="Arial"/>
          <w:b/>
          <w:bCs/>
          <w:i/>
          <w:iCs/>
          <w:sz w:val="20"/>
          <w:szCs w:val="20"/>
          <w:lang w:val="es-ES_tradnl"/>
        </w:rPr>
        <w:t>, Santiago s/ acción de inconstitucionalidad (21/04/2023)”</w:t>
      </w:r>
      <w:r w:rsidRPr="00F920AE">
        <w:rPr>
          <w:rFonts w:ascii="Arial" w:hAnsi="Arial" w:cs="Arial"/>
          <w:sz w:val="20"/>
          <w:szCs w:val="20"/>
          <w:lang w:val="es-ES_tradnl"/>
        </w:rPr>
        <w:t>.</w:t>
      </w:r>
    </w:p>
    <w:p w14:paraId="1A04614D" w14:textId="1DDD0517" w:rsidR="00F920AE" w:rsidRDefault="00314DFE" w:rsidP="00F920AE">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 xml:space="preserve">PROVINCIA DE BUENOS AIRES. </w:t>
      </w:r>
      <w:r w:rsidR="00F920AE" w:rsidRPr="00F920AE">
        <w:rPr>
          <w:rFonts w:ascii="Arial" w:hAnsi="Arial" w:cs="Arial"/>
          <w:b/>
          <w:bCs/>
          <w:sz w:val="20"/>
          <w:szCs w:val="20"/>
          <w:lang w:val="es-ES_tradnl"/>
        </w:rPr>
        <w:t xml:space="preserve">CÁMARA DE APELACIÓN EN LO CONTENCIOSO ADMINISTRATIVO </w:t>
      </w:r>
      <w:r w:rsidR="00F920AE">
        <w:rPr>
          <w:rFonts w:ascii="Arial" w:hAnsi="Arial" w:cs="Arial"/>
          <w:b/>
          <w:bCs/>
          <w:sz w:val="20"/>
          <w:szCs w:val="20"/>
          <w:lang w:val="es-ES_tradnl"/>
        </w:rPr>
        <w:t>DE</w:t>
      </w:r>
      <w:r w:rsidR="00F920AE" w:rsidRPr="00F920AE">
        <w:rPr>
          <w:rFonts w:ascii="Arial" w:hAnsi="Arial" w:cs="Arial"/>
          <w:b/>
          <w:bCs/>
          <w:sz w:val="20"/>
          <w:szCs w:val="20"/>
          <w:lang w:val="es-ES_tradnl"/>
        </w:rPr>
        <w:t xml:space="preserve"> MAR DEL PLATA</w:t>
      </w:r>
    </w:p>
    <w:p w14:paraId="38C6EBC8" w14:textId="17756A9D" w:rsidR="00F920AE" w:rsidRDefault="00F920AE" w:rsidP="00302D95">
      <w:pPr>
        <w:pStyle w:val="Prrafodelista"/>
        <w:numPr>
          <w:ilvl w:val="0"/>
          <w:numId w:val="3"/>
        </w:numPr>
        <w:snapToGrid w:val="0"/>
        <w:spacing w:after="240" w:line="360" w:lineRule="auto"/>
        <w:jc w:val="both"/>
        <w:rPr>
          <w:rFonts w:ascii="Arial" w:hAnsi="Arial" w:cs="Arial"/>
          <w:sz w:val="20"/>
          <w:szCs w:val="20"/>
          <w:lang w:val="es-ES_tradnl"/>
        </w:rPr>
      </w:pPr>
      <w:r>
        <w:rPr>
          <w:rFonts w:ascii="Arial" w:hAnsi="Arial" w:cs="Arial"/>
          <w:b/>
          <w:bCs/>
          <w:sz w:val="20"/>
          <w:szCs w:val="20"/>
          <w:lang w:val="es-ES_tradnl"/>
        </w:rPr>
        <w:t xml:space="preserve">Responsabilidad solidaria en materia tributaria. </w:t>
      </w:r>
      <w:r w:rsidRPr="00302D95">
        <w:rPr>
          <w:rFonts w:ascii="Arial" w:hAnsi="Arial" w:cs="Arial"/>
          <w:b/>
          <w:bCs/>
          <w:sz w:val="20"/>
          <w:szCs w:val="20"/>
          <w:lang w:val="es-ES_tradnl"/>
        </w:rPr>
        <w:t>Juicio de Apremio.</w:t>
      </w:r>
      <w:r>
        <w:rPr>
          <w:rFonts w:ascii="Arial" w:hAnsi="Arial" w:cs="Arial"/>
          <w:sz w:val="20"/>
          <w:szCs w:val="20"/>
          <w:lang w:val="es-ES_tradnl"/>
        </w:rPr>
        <w:t xml:space="preserve"> </w:t>
      </w:r>
      <w:r w:rsidR="00302D95">
        <w:rPr>
          <w:rFonts w:ascii="Arial" w:hAnsi="Arial" w:cs="Arial"/>
          <w:sz w:val="20"/>
          <w:szCs w:val="20"/>
          <w:lang w:val="es-ES_tradnl"/>
        </w:rPr>
        <w:t xml:space="preserve">Habiéndose realizado el planteo de inconstitucionalidad de las normas (pertinentes) del Código Fiscal de la PBA que extienden la responsabilidad solidaria, por ejemplo, a los directores (SA) y gerentes (SRL), al momento de oponer las excepciones en el ámbito de un juicio de apremio, a diferencia de los resuelto por el tribunal de grado, la Cámara considera, a partir del antecedente </w:t>
      </w:r>
      <w:r w:rsidR="00302D95" w:rsidRPr="00302D95">
        <w:rPr>
          <w:rFonts w:ascii="Arial" w:hAnsi="Arial" w:cs="Arial"/>
          <w:b/>
          <w:bCs/>
          <w:i/>
          <w:iCs/>
          <w:sz w:val="20"/>
          <w:szCs w:val="20"/>
          <w:lang w:val="es-ES_tradnl"/>
        </w:rPr>
        <w:t>Insaurralde (30/08/2021)</w:t>
      </w:r>
      <w:r w:rsidR="00302D95">
        <w:rPr>
          <w:rFonts w:ascii="Arial" w:hAnsi="Arial" w:cs="Arial"/>
          <w:sz w:val="20"/>
          <w:szCs w:val="20"/>
          <w:lang w:val="es-ES_tradnl"/>
        </w:rPr>
        <w:t xml:space="preserve">, de la SCJBA, que es procedente aplicar la jurisprudencia </w:t>
      </w:r>
      <w:r w:rsidR="00302D95" w:rsidRPr="00302D95">
        <w:rPr>
          <w:rFonts w:ascii="Arial" w:hAnsi="Arial" w:cs="Arial"/>
          <w:b/>
          <w:bCs/>
          <w:i/>
          <w:iCs/>
          <w:sz w:val="20"/>
          <w:szCs w:val="20"/>
          <w:lang w:val="es-ES_tradnl"/>
        </w:rPr>
        <w:t>Toledo</w:t>
      </w:r>
      <w:r w:rsidR="00302D95">
        <w:rPr>
          <w:rFonts w:ascii="Arial" w:hAnsi="Arial" w:cs="Arial"/>
          <w:sz w:val="20"/>
          <w:szCs w:val="20"/>
          <w:lang w:val="es-ES_tradnl"/>
        </w:rPr>
        <w:t xml:space="preserve"> (SCJBA), dada la falta de legitimación pasiva lo cual conlleva a la inhabilidad de título. </w:t>
      </w:r>
      <w:r w:rsidR="00302D95" w:rsidRPr="00302D95">
        <w:rPr>
          <w:rFonts w:ascii="Arial" w:hAnsi="Arial" w:cs="Arial"/>
          <w:b/>
          <w:bCs/>
          <w:i/>
          <w:iCs/>
          <w:sz w:val="20"/>
          <w:szCs w:val="20"/>
          <w:lang w:val="es-ES_tradnl"/>
        </w:rPr>
        <w:t>“FISCO DE LA PROVINCIA DE BUENOS AIRES c. FRIGORIFICO DE LA COSTA S.A. Y OTROS s. APREMIO PROVINCIAL</w:t>
      </w:r>
      <w:r w:rsidR="00302D95" w:rsidRPr="00302D95">
        <w:rPr>
          <w:rFonts w:ascii="Arial" w:hAnsi="Arial" w:cs="Arial"/>
          <w:sz w:val="20"/>
          <w:szCs w:val="20"/>
          <w:lang w:val="es-ES_tradnl"/>
        </w:rPr>
        <w:t>"</w:t>
      </w:r>
      <w:r w:rsidR="00B53517">
        <w:rPr>
          <w:rFonts w:ascii="Arial" w:hAnsi="Arial" w:cs="Arial"/>
          <w:sz w:val="20"/>
          <w:szCs w:val="20"/>
          <w:lang w:val="es-ES_tradnl"/>
        </w:rPr>
        <w:t xml:space="preserve"> </w:t>
      </w:r>
      <w:r w:rsidR="00B53517">
        <w:rPr>
          <w:rFonts w:ascii="Arial" w:hAnsi="Arial" w:cs="Arial"/>
          <w:b/>
          <w:i/>
          <w:sz w:val="20"/>
          <w:szCs w:val="20"/>
          <w:lang w:val="es-ES_tradnl"/>
        </w:rPr>
        <w:t>20/04/2023).</w:t>
      </w:r>
      <w:bookmarkStart w:id="0" w:name="_GoBack"/>
      <w:bookmarkEnd w:id="0"/>
      <w:r w:rsidR="00302D95" w:rsidRPr="00302D95">
        <w:rPr>
          <w:rFonts w:ascii="Arial" w:hAnsi="Arial" w:cs="Arial"/>
          <w:sz w:val="20"/>
          <w:szCs w:val="20"/>
          <w:lang w:val="es-ES_tradnl"/>
        </w:rPr>
        <w:t xml:space="preserve"> </w:t>
      </w:r>
    </w:p>
    <w:p w14:paraId="24F63C69" w14:textId="00496952" w:rsidR="00302D95" w:rsidRDefault="00314DFE" w:rsidP="00302D95">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 xml:space="preserve">PROVINCIA DE TUCUMÁN. </w:t>
      </w:r>
      <w:r w:rsidR="00302D95" w:rsidRPr="00F920AE">
        <w:rPr>
          <w:rFonts w:ascii="Arial" w:hAnsi="Arial" w:cs="Arial"/>
          <w:b/>
          <w:bCs/>
          <w:sz w:val="20"/>
          <w:szCs w:val="20"/>
          <w:lang w:val="es-ES_tradnl"/>
        </w:rPr>
        <w:t xml:space="preserve">CÁMARA CONTENCIOSO ADMINISTRATIVO </w:t>
      </w:r>
      <w:r>
        <w:rPr>
          <w:rFonts w:ascii="Arial" w:hAnsi="Arial" w:cs="Arial"/>
          <w:b/>
          <w:bCs/>
          <w:sz w:val="20"/>
          <w:szCs w:val="20"/>
          <w:lang w:val="es-ES_tradnl"/>
        </w:rPr>
        <w:t>– SALA III</w:t>
      </w:r>
    </w:p>
    <w:p w14:paraId="6CA4D394" w14:textId="09B697C8" w:rsidR="00314DFE" w:rsidRPr="00CE7EE0" w:rsidRDefault="00314DFE" w:rsidP="00CE7EE0">
      <w:pPr>
        <w:pStyle w:val="Prrafodelista"/>
        <w:numPr>
          <w:ilvl w:val="0"/>
          <w:numId w:val="3"/>
        </w:numPr>
        <w:snapToGrid w:val="0"/>
        <w:spacing w:after="240" w:line="360" w:lineRule="auto"/>
        <w:ind w:left="714" w:hanging="357"/>
        <w:contextualSpacing w:val="0"/>
        <w:jc w:val="both"/>
        <w:rPr>
          <w:rFonts w:ascii="Arial" w:hAnsi="Arial" w:cs="Arial"/>
          <w:b/>
          <w:bCs/>
          <w:sz w:val="20"/>
          <w:szCs w:val="20"/>
          <w:lang w:val="es-ES_tradnl"/>
        </w:rPr>
      </w:pPr>
      <w:r>
        <w:rPr>
          <w:rFonts w:ascii="Arial" w:hAnsi="Arial" w:cs="Arial"/>
          <w:b/>
          <w:bCs/>
          <w:sz w:val="20"/>
          <w:szCs w:val="20"/>
          <w:lang w:val="es-ES_tradnl"/>
        </w:rPr>
        <w:lastRenderedPageBreak/>
        <w:t xml:space="preserve">Impuesto sobre los Ingresos Brutos. </w:t>
      </w:r>
      <w:r w:rsidRPr="00314DFE">
        <w:rPr>
          <w:rFonts w:ascii="Arial" w:hAnsi="Arial" w:cs="Arial"/>
          <w:b/>
          <w:bCs/>
          <w:sz w:val="20"/>
          <w:szCs w:val="20"/>
          <w:lang w:val="es-ES_tradnl"/>
        </w:rPr>
        <w:t xml:space="preserve">Nulidad y Repetición. Probanza de la no traslación del tributo.  </w:t>
      </w:r>
      <w:r>
        <w:rPr>
          <w:rFonts w:ascii="Arial" w:hAnsi="Arial" w:cs="Arial"/>
          <w:sz w:val="20"/>
          <w:szCs w:val="20"/>
          <w:lang w:val="es-ES_tradnl"/>
        </w:rPr>
        <w:t>Previamente, la Cooperativa tuvo sentencia favorable de la CSJT por medio de la cual se declaró, para su caso concreto, inconstitucional el artículo 214, de la Ley 5.121 (hecho imponible – aspecto material – onerosidad o no). A partir de ahí solicita la repetición ante la DGR, la cual es denegada por estar la sentencia apelada por la provincia ante la CSJN. Lo mismo sucede ante el TFA. Ambos organismos administrativos plantearon que la acción de repetición fue prematura. Ahora bien, ante el 280 de la CSJN, la DGR igualmente rechaza la repetición, pero argumentando que hubo traslación del tributo. El contribuyente plante la nulidad de las resoluciones de la DGR y el TFA y la repetición de lo pagado indebidamente (2012/2016)</w:t>
      </w:r>
      <w:r w:rsidR="00CE7EE0">
        <w:rPr>
          <w:rFonts w:ascii="Arial" w:hAnsi="Arial" w:cs="Arial"/>
          <w:sz w:val="20"/>
          <w:szCs w:val="20"/>
          <w:lang w:val="es-ES_tradnl"/>
        </w:rPr>
        <w:t xml:space="preserve">. A su turno la Cámara resuelve que la nulidad carece de actualidad. En cuanto a la traslación, se prueba, luego de analizar toda la cadena de valor, que la Cooperativa no tenía la capacidad de mercado de fijar precio (lo hacen los laboratorios), por lo tanto se declara la nulidad del acto administrativo de la DGR que rechazo la repetición por este motivo. Por último, se resuelve en favor de la repetición bajo el argumento de que </w:t>
      </w:r>
      <w:r w:rsidR="00CE7EE0" w:rsidRPr="00CE7EE0">
        <w:rPr>
          <w:rFonts w:ascii="Arial" w:hAnsi="Arial" w:cs="Arial"/>
          <w:i/>
          <w:iCs/>
          <w:sz w:val="20"/>
          <w:szCs w:val="20"/>
          <w:lang w:val="es-ES_tradnl"/>
        </w:rPr>
        <w:t>“la declaración de inconstitucionalidad del art. 214……tuvo como resultado la inaplicabilidad del impuesto a la Cooperativa……Por ende los pagos al fisco fueron realizados sin causa…”</w:t>
      </w:r>
      <w:r w:rsidR="00CE7EE0">
        <w:rPr>
          <w:rFonts w:ascii="Arial" w:hAnsi="Arial" w:cs="Arial"/>
          <w:sz w:val="20"/>
          <w:szCs w:val="20"/>
          <w:lang w:val="es-ES_tradnl"/>
        </w:rPr>
        <w:t xml:space="preserve">. </w:t>
      </w:r>
      <w:r w:rsidR="00CE7EE0" w:rsidRPr="00CE7EE0">
        <w:rPr>
          <w:rFonts w:ascii="Arial" w:hAnsi="Arial" w:cs="Arial"/>
          <w:sz w:val="20"/>
          <w:szCs w:val="20"/>
          <w:lang w:val="es-ES_tradnl"/>
        </w:rPr>
        <w:t xml:space="preserve"> </w:t>
      </w:r>
      <w:r w:rsidR="00CE7EE0" w:rsidRPr="00CE7EE0">
        <w:rPr>
          <w:rFonts w:ascii="Arial" w:hAnsi="Arial" w:cs="Arial"/>
          <w:b/>
          <w:bCs/>
          <w:i/>
          <w:iCs/>
          <w:sz w:val="20"/>
          <w:szCs w:val="20"/>
          <w:lang w:val="es-ES_tradnl"/>
        </w:rPr>
        <w:t xml:space="preserve">“Cooperativa Farmacéutica de Provisión y Consumo Alberdi LTDA c/Provincia de Tucumán s/Nulidad/Revocación </w:t>
      </w:r>
      <w:proofErr w:type="spellStart"/>
      <w:r w:rsidR="00CE7EE0" w:rsidRPr="00CE7EE0">
        <w:rPr>
          <w:rFonts w:ascii="Arial" w:hAnsi="Arial" w:cs="Arial"/>
          <w:b/>
          <w:bCs/>
          <w:i/>
          <w:iCs/>
          <w:sz w:val="20"/>
          <w:szCs w:val="20"/>
          <w:lang w:val="es-ES_tradnl"/>
        </w:rPr>
        <w:t>Expte</w:t>
      </w:r>
      <w:proofErr w:type="spellEnd"/>
      <w:r w:rsidR="00CE7EE0" w:rsidRPr="00CE7EE0">
        <w:rPr>
          <w:rFonts w:ascii="Arial" w:hAnsi="Arial" w:cs="Arial"/>
          <w:b/>
          <w:bCs/>
          <w:i/>
          <w:iCs/>
          <w:sz w:val="20"/>
          <w:szCs w:val="20"/>
          <w:lang w:val="es-ES_tradnl"/>
        </w:rPr>
        <w:t xml:space="preserve"> 429/18 (26/04/2023)”</w:t>
      </w:r>
      <w:r w:rsidR="00CE7EE0">
        <w:rPr>
          <w:rFonts w:ascii="Arial" w:hAnsi="Arial" w:cs="Arial"/>
          <w:sz w:val="20"/>
          <w:szCs w:val="20"/>
          <w:lang w:val="es-ES_tradnl"/>
        </w:rPr>
        <w:t>.</w:t>
      </w:r>
    </w:p>
    <w:p w14:paraId="6761E478" w14:textId="1657FB3F" w:rsidR="00CE7EE0" w:rsidRDefault="00CE7EE0" w:rsidP="00CE7EE0">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TRIBUNAL FISCAL DE APELACIÓN DE LA PROVINCIA DE BUENOS AIRES</w:t>
      </w:r>
    </w:p>
    <w:p w14:paraId="03A6BD02" w14:textId="66B79DB3" w:rsidR="00CE7EE0" w:rsidRPr="002556A8" w:rsidRDefault="005200B4" w:rsidP="002556A8">
      <w:pPr>
        <w:pStyle w:val="Prrafodelista"/>
        <w:numPr>
          <w:ilvl w:val="0"/>
          <w:numId w:val="3"/>
        </w:numPr>
        <w:snapToGrid w:val="0"/>
        <w:spacing w:after="240" w:line="360" w:lineRule="auto"/>
        <w:ind w:left="714" w:hanging="357"/>
        <w:contextualSpacing w:val="0"/>
        <w:jc w:val="both"/>
        <w:rPr>
          <w:rFonts w:ascii="Arial" w:hAnsi="Arial" w:cs="Arial"/>
          <w:b/>
          <w:bCs/>
          <w:sz w:val="20"/>
          <w:szCs w:val="20"/>
          <w:lang w:val="es-ES_tradnl"/>
        </w:rPr>
      </w:pPr>
      <w:r>
        <w:rPr>
          <w:rFonts w:ascii="Arial" w:hAnsi="Arial" w:cs="Arial"/>
          <w:b/>
          <w:bCs/>
          <w:sz w:val="20"/>
          <w:szCs w:val="20"/>
          <w:lang w:val="es-ES_tradnl"/>
        </w:rPr>
        <w:t xml:space="preserve">Agente de Percepción del Impuesto sobre los Ingresos Brutos. </w:t>
      </w:r>
      <w:r>
        <w:rPr>
          <w:rFonts w:ascii="Arial" w:hAnsi="Arial" w:cs="Arial"/>
          <w:sz w:val="20"/>
          <w:szCs w:val="20"/>
          <w:lang w:val="es-ES_tradnl"/>
        </w:rPr>
        <w:t xml:space="preserve">Se ratifica la aplicación de la </w:t>
      </w:r>
      <w:r w:rsidRPr="002556A8">
        <w:rPr>
          <w:rFonts w:ascii="Arial" w:hAnsi="Arial" w:cs="Arial"/>
          <w:b/>
          <w:bCs/>
          <w:i/>
          <w:iCs/>
          <w:sz w:val="20"/>
          <w:szCs w:val="20"/>
          <w:lang w:val="es-ES_tradnl"/>
        </w:rPr>
        <w:t>teoría de las cargas dinámicas de la prueba</w:t>
      </w:r>
      <w:r>
        <w:rPr>
          <w:rFonts w:ascii="Arial" w:hAnsi="Arial" w:cs="Arial"/>
          <w:sz w:val="20"/>
          <w:szCs w:val="20"/>
          <w:lang w:val="es-ES_tradnl"/>
        </w:rPr>
        <w:t>, más allá que la carga probatoria primaria es del agente que omitió.</w:t>
      </w:r>
      <w:r w:rsidR="002556A8">
        <w:rPr>
          <w:rFonts w:ascii="Arial" w:hAnsi="Arial" w:cs="Arial"/>
          <w:sz w:val="20"/>
          <w:szCs w:val="20"/>
          <w:lang w:val="es-ES_tradnl"/>
        </w:rPr>
        <w:t xml:space="preserve"> Se vuelve a diferenciar la situación de los agentes de retención de aquellos de percepción. En cuanto a la extensión de la responsabilidad solidaria, no se aplica de forma plena </w:t>
      </w:r>
      <w:r w:rsidR="002556A8" w:rsidRPr="002556A8">
        <w:rPr>
          <w:rFonts w:ascii="Arial" w:hAnsi="Arial" w:cs="Arial"/>
          <w:b/>
          <w:bCs/>
          <w:i/>
          <w:iCs/>
          <w:sz w:val="20"/>
          <w:szCs w:val="20"/>
          <w:lang w:val="es-ES_tradnl"/>
        </w:rPr>
        <w:t>Toledo</w:t>
      </w:r>
      <w:r w:rsidR="002556A8">
        <w:rPr>
          <w:rFonts w:ascii="Arial" w:hAnsi="Arial" w:cs="Arial"/>
          <w:b/>
          <w:bCs/>
          <w:i/>
          <w:iCs/>
          <w:sz w:val="20"/>
          <w:szCs w:val="20"/>
          <w:lang w:val="es-ES_tradnl"/>
        </w:rPr>
        <w:t xml:space="preserve"> (30/08/2021) </w:t>
      </w:r>
      <w:r w:rsidR="002556A8" w:rsidRPr="002556A8">
        <w:rPr>
          <w:rFonts w:ascii="Arial" w:hAnsi="Arial" w:cs="Arial"/>
          <w:sz w:val="20"/>
          <w:szCs w:val="20"/>
          <w:lang w:val="es-ES_tradnl"/>
        </w:rPr>
        <w:t>y</w:t>
      </w:r>
      <w:r w:rsidR="002556A8">
        <w:rPr>
          <w:rFonts w:ascii="Arial" w:hAnsi="Arial" w:cs="Arial"/>
          <w:b/>
          <w:bCs/>
          <w:i/>
          <w:iCs/>
          <w:sz w:val="20"/>
          <w:szCs w:val="20"/>
          <w:lang w:val="es-ES_tradnl"/>
        </w:rPr>
        <w:t xml:space="preserve"> Casón (31/08/2021)</w:t>
      </w:r>
      <w:r w:rsidR="002556A8">
        <w:rPr>
          <w:rFonts w:ascii="Arial" w:hAnsi="Arial" w:cs="Arial"/>
          <w:sz w:val="20"/>
          <w:szCs w:val="20"/>
          <w:lang w:val="es-ES_tradnl"/>
        </w:rPr>
        <w:t>, si no que se analiza cada caso en particular y su vínculo con la función de administración. COTESUD COMPAÑÍA TECNICA SUDAMERICANA (4/04/2023).</w:t>
      </w:r>
    </w:p>
    <w:p w14:paraId="357D6873" w14:textId="12C5DA47" w:rsidR="002556A8" w:rsidRPr="004C0A26" w:rsidRDefault="002556A8" w:rsidP="002556A8">
      <w:pPr>
        <w:pStyle w:val="Prrafodelista"/>
        <w:numPr>
          <w:ilvl w:val="0"/>
          <w:numId w:val="3"/>
        </w:numPr>
        <w:snapToGrid w:val="0"/>
        <w:spacing w:after="240" w:line="360" w:lineRule="auto"/>
        <w:ind w:left="714" w:hanging="357"/>
        <w:contextualSpacing w:val="0"/>
        <w:jc w:val="both"/>
        <w:rPr>
          <w:rFonts w:ascii="Arial" w:hAnsi="Arial" w:cs="Arial"/>
          <w:b/>
          <w:bCs/>
          <w:sz w:val="20"/>
          <w:szCs w:val="20"/>
          <w:lang w:val="es-ES_tradnl"/>
        </w:rPr>
      </w:pPr>
      <w:r>
        <w:rPr>
          <w:rFonts w:ascii="Arial" w:hAnsi="Arial" w:cs="Arial"/>
          <w:b/>
          <w:bCs/>
          <w:sz w:val="20"/>
          <w:szCs w:val="20"/>
          <w:lang w:val="es-ES_tradnl"/>
        </w:rPr>
        <w:t xml:space="preserve">Prescripción. Sanciones Tributarias. </w:t>
      </w:r>
      <w:r>
        <w:rPr>
          <w:rFonts w:ascii="Arial" w:hAnsi="Arial" w:cs="Arial"/>
          <w:sz w:val="20"/>
          <w:szCs w:val="20"/>
          <w:lang w:val="es-ES_tradnl"/>
        </w:rPr>
        <w:t xml:space="preserve">Se ratifica la aplicación de la cláusula de los códigos prescripta en el inciso 12, del artículo 75, de la CN y se aplica la jurisprudencia </w:t>
      </w:r>
      <w:proofErr w:type="spellStart"/>
      <w:r w:rsidRPr="002556A8">
        <w:rPr>
          <w:rFonts w:ascii="Arial" w:hAnsi="Arial" w:cs="Arial"/>
          <w:b/>
          <w:bCs/>
          <w:i/>
          <w:iCs/>
          <w:sz w:val="20"/>
          <w:szCs w:val="20"/>
          <w:lang w:val="es-ES_tradnl"/>
        </w:rPr>
        <w:t>Alpha</w:t>
      </w:r>
      <w:proofErr w:type="spellEnd"/>
      <w:r w:rsidRPr="002556A8">
        <w:rPr>
          <w:rFonts w:ascii="Arial" w:hAnsi="Arial" w:cs="Arial"/>
          <w:b/>
          <w:bCs/>
          <w:i/>
          <w:iCs/>
          <w:sz w:val="20"/>
          <w:szCs w:val="20"/>
          <w:lang w:val="es-ES_tradnl"/>
        </w:rPr>
        <w:t xml:space="preserve"> </w:t>
      </w:r>
      <w:proofErr w:type="spellStart"/>
      <w:r w:rsidRPr="002556A8">
        <w:rPr>
          <w:rFonts w:ascii="Arial" w:hAnsi="Arial" w:cs="Arial"/>
          <w:b/>
          <w:bCs/>
          <w:i/>
          <w:iCs/>
          <w:sz w:val="20"/>
          <w:szCs w:val="20"/>
          <w:lang w:val="es-ES_tradnl"/>
        </w:rPr>
        <w:t>Shipping</w:t>
      </w:r>
      <w:proofErr w:type="spellEnd"/>
      <w:r w:rsidRPr="002556A8">
        <w:rPr>
          <w:rFonts w:ascii="Arial" w:hAnsi="Arial" w:cs="Arial"/>
          <w:b/>
          <w:bCs/>
          <w:i/>
          <w:iCs/>
          <w:sz w:val="20"/>
          <w:szCs w:val="20"/>
          <w:lang w:val="es-ES_tradnl"/>
        </w:rPr>
        <w:t xml:space="preserve"> SA (CSJN – 7/03/2023)</w:t>
      </w:r>
      <w:r>
        <w:rPr>
          <w:rFonts w:ascii="Arial" w:hAnsi="Arial" w:cs="Arial"/>
          <w:b/>
          <w:bCs/>
          <w:sz w:val="20"/>
          <w:szCs w:val="20"/>
          <w:lang w:val="es-ES_tradnl"/>
        </w:rPr>
        <w:t xml:space="preserve"> </w:t>
      </w:r>
      <w:r>
        <w:rPr>
          <w:rFonts w:ascii="Arial" w:hAnsi="Arial" w:cs="Arial"/>
          <w:sz w:val="20"/>
          <w:szCs w:val="20"/>
          <w:lang w:val="es-ES_tradnl"/>
        </w:rPr>
        <w:t xml:space="preserve">en materia de prescripción de sanciones tributarias. El cómputo se considera a partir del vencimiento de la declaración anual (en este caso se trata de un contribuyente local de IIBB). Por lo tanto se declara todo prescripto. El capital por </w:t>
      </w:r>
      <w:r w:rsidRPr="004C0A26">
        <w:rPr>
          <w:rFonts w:ascii="Arial" w:hAnsi="Arial" w:cs="Arial"/>
          <w:b/>
          <w:bCs/>
          <w:i/>
          <w:iCs/>
          <w:sz w:val="20"/>
          <w:szCs w:val="20"/>
          <w:lang w:val="es-ES_tradnl"/>
        </w:rPr>
        <w:t>Recuperación de Crédito</w:t>
      </w:r>
      <w:r>
        <w:rPr>
          <w:rFonts w:ascii="Arial" w:hAnsi="Arial" w:cs="Arial"/>
          <w:sz w:val="20"/>
          <w:szCs w:val="20"/>
          <w:lang w:val="es-ES_tradnl"/>
        </w:rPr>
        <w:t xml:space="preserve"> (SCJBA) y </w:t>
      </w:r>
      <w:r w:rsidRPr="004C0A26">
        <w:rPr>
          <w:rFonts w:ascii="Arial" w:hAnsi="Arial" w:cs="Arial"/>
          <w:b/>
          <w:bCs/>
          <w:i/>
          <w:iCs/>
          <w:sz w:val="20"/>
          <w:szCs w:val="20"/>
          <w:lang w:val="es-ES_tradnl"/>
        </w:rPr>
        <w:t>VW</w:t>
      </w:r>
      <w:r>
        <w:rPr>
          <w:rFonts w:ascii="Arial" w:hAnsi="Arial" w:cs="Arial"/>
          <w:sz w:val="20"/>
          <w:szCs w:val="20"/>
          <w:lang w:val="es-ES_tradnl"/>
        </w:rPr>
        <w:t xml:space="preserve"> (CSJN) y las sanciones por </w:t>
      </w:r>
      <w:proofErr w:type="spellStart"/>
      <w:r w:rsidRPr="004C0A26">
        <w:rPr>
          <w:rFonts w:ascii="Arial" w:hAnsi="Arial" w:cs="Arial"/>
          <w:b/>
          <w:bCs/>
          <w:i/>
          <w:iCs/>
          <w:sz w:val="20"/>
          <w:szCs w:val="20"/>
          <w:lang w:val="es-ES_tradnl"/>
        </w:rPr>
        <w:t>Alpha</w:t>
      </w:r>
      <w:proofErr w:type="spellEnd"/>
      <w:r w:rsidRPr="004C0A26">
        <w:rPr>
          <w:rFonts w:ascii="Arial" w:hAnsi="Arial" w:cs="Arial"/>
          <w:b/>
          <w:bCs/>
          <w:i/>
          <w:iCs/>
          <w:sz w:val="20"/>
          <w:szCs w:val="20"/>
          <w:lang w:val="es-ES_tradnl"/>
        </w:rPr>
        <w:t xml:space="preserve"> </w:t>
      </w:r>
      <w:proofErr w:type="spellStart"/>
      <w:r w:rsidRPr="004C0A26">
        <w:rPr>
          <w:rFonts w:ascii="Arial" w:hAnsi="Arial" w:cs="Arial"/>
          <w:b/>
          <w:bCs/>
          <w:i/>
          <w:iCs/>
          <w:sz w:val="20"/>
          <w:szCs w:val="20"/>
          <w:lang w:val="es-ES_tradnl"/>
        </w:rPr>
        <w:t>Shipping</w:t>
      </w:r>
      <w:proofErr w:type="spellEnd"/>
      <w:r>
        <w:rPr>
          <w:rFonts w:ascii="Arial" w:hAnsi="Arial" w:cs="Arial"/>
          <w:sz w:val="20"/>
          <w:szCs w:val="20"/>
          <w:lang w:val="es-ES_tradnl"/>
        </w:rPr>
        <w:t xml:space="preserve"> (CSJN). </w:t>
      </w:r>
      <w:r w:rsidR="004C0A26" w:rsidRPr="004C0A26">
        <w:rPr>
          <w:rFonts w:ascii="Arial" w:hAnsi="Arial" w:cs="Arial"/>
          <w:b/>
          <w:bCs/>
          <w:i/>
          <w:iCs/>
          <w:sz w:val="20"/>
          <w:szCs w:val="20"/>
          <w:lang w:val="es-ES_tradnl"/>
        </w:rPr>
        <w:t>“</w:t>
      </w:r>
      <w:r w:rsidRPr="004C0A26">
        <w:rPr>
          <w:rFonts w:ascii="Arial" w:hAnsi="Arial" w:cs="Arial"/>
          <w:b/>
          <w:bCs/>
          <w:i/>
          <w:iCs/>
          <w:sz w:val="20"/>
          <w:szCs w:val="20"/>
          <w:lang w:val="es-ES_tradnl"/>
        </w:rPr>
        <w:t>Frigorífico Villa de Mayo S.R.L. (</w:t>
      </w:r>
      <w:r w:rsidR="004C0A26" w:rsidRPr="004C0A26">
        <w:rPr>
          <w:rFonts w:ascii="Arial" w:hAnsi="Arial" w:cs="Arial"/>
          <w:b/>
          <w:bCs/>
          <w:i/>
          <w:iCs/>
          <w:sz w:val="20"/>
          <w:szCs w:val="20"/>
          <w:lang w:val="es-ES_tradnl"/>
        </w:rPr>
        <w:t>12/04/2023)”</w:t>
      </w:r>
      <w:r w:rsidR="004C0A26">
        <w:rPr>
          <w:rFonts w:ascii="Arial" w:hAnsi="Arial" w:cs="Arial"/>
          <w:sz w:val="20"/>
          <w:szCs w:val="20"/>
          <w:lang w:val="es-ES_tradnl"/>
        </w:rPr>
        <w:t>.</w:t>
      </w:r>
    </w:p>
    <w:p w14:paraId="25A9B6CC" w14:textId="0676C250" w:rsidR="004C0A26" w:rsidRDefault="004C0A26" w:rsidP="004C0A26">
      <w:p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COMISION ARBITRAL Y PLENARIA</w:t>
      </w:r>
    </w:p>
    <w:p w14:paraId="25E5541D" w14:textId="0E94E5AC" w:rsidR="004C0A26" w:rsidRPr="004C0A26" w:rsidRDefault="004C0A26" w:rsidP="004C0A26">
      <w:pPr>
        <w:pStyle w:val="Prrafodelista"/>
        <w:numPr>
          <w:ilvl w:val="0"/>
          <w:numId w:val="4"/>
        </w:numPr>
        <w:snapToGrid w:val="0"/>
        <w:spacing w:after="240" w:line="360" w:lineRule="auto"/>
        <w:ind w:left="714" w:hanging="357"/>
        <w:contextualSpacing w:val="0"/>
        <w:jc w:val="both"/>
        <w:rPr>
          <w:rFonts w:ascii="Arial" w:hAnsi="Arial" w:cs="Arial"/>
          <w:b/>
          <w:bCs/>
          <w:sz w:val="20"/>
          <w:szCs w:val="20"/>
          <w:lang w:val="es-ES_tradnl"/>
        </w:rPr>
      </w:pPr>
      <w:r>
        <w:rPr>
          <w:rFonts w:ascii="Arial" w:hAnsi="Arial" w:cs="Arial"/>
          <w:b/>
          <w:bCs/>
          <w:sz w:val="20"/>
          <w:szCs w:val="20"/>
          <w:lang w:val="es-ES_tradnl"/>
        </w:rPr>
        <w:lastRenderedPageBreak/>
        <w:t xml:space="preserve">R. (CA) 6/2023. ALADDIN SRL c/CABA. </w:t>
      </w:r>
      <w:r>
        <w:rPr>
          <w:rFonts w:ascii="Arial" w:hAnsi="Arial" w:cs="Arial"/>
          <w:sz w:val="20"/>
          <w:szCs w:val="20"/>
          <w:lang w:val="es-ES_tradnl"/>
        </w:rPr>
        <w:t>Atribución de Ingresos.</w:t>
      </w:r>
    </w:p>
    <w:p w14:paraId="7DD9756A" w14:textId="24D93821" w:rsidR="004C0A26" w:rsidRPr="004C0A26" w:rsidRDefault="004C0A26" w:rsidP="004C0A26">
      <w:pPr>
        <w:pStyle w:val="Prrafodelista"/>
        <w:numPr>
          <w:ilvl w:val="0"/>
          <w:numId w:val="4"/>
        </w:numPr>
        <w:snapToGrid w:val="0"/>
        <w:spacing w:after="240" w:line="360" w:lineRule="auto"/>
        <w:ind w:left="714" w:hanging="357"/>
        <w:contextualSpacing w:val="0"/>
        <w:jc w:val="both"/>
        <w:rPr>
          <w:rFonts w:ascii="Arial" w:hAnsi="Arial" w:cs="Arial"/>
          <w:b/>
          <w:bCs/>
          <w:sz w:val="20"/>
          <w:szCs w:val="20"/>
          <w:lang w:val="es-ES_tradnl"/>
        </w:rPr>
      </w:pPr>
      <w:r>
        <w:rPr>
          <w:rFonts w:ascii="Arial" w:hAnsi="Arial" w:cs="Arial"/>
          <w:b/>
          <w:bCs/>
          <w:sz w:val="20"/>
          <w:szCs w:val="20"/>
          <w:lang w:val="es-ES_tradnl"/>
        </w:rPr>
        <w:t xml:space="preserve">R. (CA) 5/2023. Peugeot Arg. SA c/Corrientes. </w:t>
      </w:r>
      <w:r>
        <w:rPr>
          <w:rFonts w:ascii="Arial" w:hAnsi="Arial" w:cs="Arial"/>
          <w:sz w:val="20"/>
          <w:szCs w:val="20"/>
          <w:lang w:val="es-ES_tradnl"/>
        </w:rPr>
        <w:t>Atribución de Ingresos.</w:t>
      </w:r>
    </w:p>
    <w:p w14:paraId="1A2233C9" w14:textId="77777777" w:rsidR="004C0A26" w:rsidRPr="004C0A26" w:rsidRDefault="004C0A26" w:rsidP="004C0A26">
      <w:pPr>
        <w:snapToGrid w:val="0"/>
        <w:spacing w:after="240" w:line="360" w:lineRule="auto"/>
        <w:jc w:val="both"/>
        <w:rPr>
          <w:rFonts w:ascii="Arial" w:hAnsi="Arial" w:cs="Arial"/>
          <w:b/>
          <w:bCs/>
          <w:sz w:val="20"/>
          <w:szCs w:val="20"/>
          <w:lang w:val="es-ES_tradnl"/>
        </w:rPr>
      </w:pPr>
    </w:p>
    <w:p w14:paraId="2A128E9F" w14:textId="77777777" w:rsidR="00302D95" w:rsidRPr="00302D95" w:rsidRDefault="00302D95" w:rsidP="00302D95">
      <w:pPr>
        <w:snapToGrid w:val="0"/>
        <w:spacing w:after="240" w:line="360" w:lineRule="auto"/>
        <w:jc w:val="both"/>
        <w:rPr>
          <w:rFonts w:ascii="Arial" w:hAnsi="Arial" w:cs="Arial"/>
          <w:sz w:val="20"/>
          <w:szCs w:val="20"/>
          <w:lang w:val="es-ES_tradnl"/>
        </w:rPr>
      </w:pPr>
    </w:p>
    <w:sectPr w:rsidR="00302D95" w:rsidRPr="00302D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45139"/>
    <w:multiLevelType w:val="hybridMultilevel"/>
    <w:tmpl w:val="277C2588"/>
    <w:lvl w:ilvl="0" w:tplc="F8FA5B26">
      <w:start w:val="4"/>
      <w:numFmt w:val="decimal"/>
      <w:lvlText w:val="%1."/>
      <w:lvlJc w:val="left"/>
      <w:pPr>
        <w:ind w:left="720" w:hanging="360"/>
      </w:pPr>
      <w:rPr>
        <w:rFonts w:hint="default"/>
        <w:b/>
        <w:bCs/>
      </w:rPr>
    </w:lvl>
    <w:lvl w:ilvl="1" w:tplc="1B62C054">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082CFC"/>
    <w:multiLevelType w:val="hybridMultilevel"/>
    <w:tmpl w:val="97008A7E"/>
    <w:lvl w:ilvl="0" w:tplc="01F8C83E">
      <w:start w:val="8"/>
      <w:numFmt w:val="decimal"/>
      <w:lvlText w:val="%1."/>
      <w:lvlJc w:val="left"/>
      <w:pPr>
        <w:ind w:left="720" w:hanging="360"/>
      </w:pPr>
      <w:rPr>
        <w:rFonts w:hint="default"/>
        <w:b/>
        <w:bCs/>
      </w:rPr>
    </w:lvl>
    <w:lvl w:ilvl="1" w:tplc="FFFFFFFF">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8C41DA"/>
    <w:multiLevelType w:val="hybridMultilevel"/>
    <w:tmpl w:val="198C5F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7BA7752"/>
    <w:multiLevelType w:val="hybridMultilevel"/>
    <w:tmpl w:val="20360532"/>
    <w:lvl w:ilvl="0" w:tplc="84CAAF62">
      <w:start w:val="13"/>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F0E"/>
    <w:rsid w:val="000907BC"/>
    <w:rsid w:val="00165191"/>
    <w:rsid w:val="001A164A"/>
    <w:rsid w:val="00252AAB"/>
    <w:rsid w:val="002556A8"/>
    <w:rsid w:val="00302D95"/>
    <w:rsid w:val="00314DFE"/>
    <w:rsid w:val="004C0A26"/>
    <w:rsid w:val="005200B4"/>
    <w:rsid w:val="006225A1"/>
    <w:rsid w:val="0075058B"/>
    <w:rsid w:val="008478A8"/>
    <w:rsid w:val="008F6BD8"/>
    <w:rsid w:val="009D4F0E"/>
    <w:rsid w:val="00A8144A"/>
    <w:rsid w:val="00B53517"/>
    <w:rsid w:val="00C65561"/>
    <w:rsid w:val="00CE5A75"/>
    <w:rsid w:val="00CE7EE0"/>
    <w:rsid w:val="00E67A45"/>
    <w:rsid w:val="00F920A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317C"/>
  <w15:chartTrackingRefBased/>
  <w15:docId w15:val="{91C1AD45-4D5D-EF46-B56B-695C0BD6C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A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D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1628</Words>
  <Characters>8910</Characters>
  <Application>Microsoft Office Word</Application>
  <DocSecurity>0</DocSecurity>
  <Lines>262</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Francisco Reyes</dc:creator>
  <cp:keywords/>
  <dc:description/>
  <cp:lastModifiedBy>Gustavo Grinberg</cp:lastModifiedBy>
  <cp:revision>3</cp:revision>
  <dcterms:created xsi:type="dcterms:W3CDTF">2023-05-11T14:48:00Z</dcterms:created>
  <dcterms:modified xsi:type="dcterms:W3CDTF">2023-05-11T14:54:00Z</dcterms:modified>
</cp:coreProperties>
</file>